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291A" w14:textId="77777777" w:rsidR="00A421BA" w:rsidRDefault="000B50D1" w:rsidP="000B50D1">
      <w:pPr>
        <w:pStyle w:val="Title"/>
        <w:jc w:val="center"/>
        <w:rPr>
          <w:sz w:val="40"/>
        </w:rPr>
      </w:pPr>
      <w:r>
        <w:rPr>
          <w:noProof/>
        </w:rPr>
        <w:drawing>
          <wp:anchor distT="0" distB="0" distL="114300" distR="114300" simplePos="0" relativeHeight="251660288" behindDoc="0" locked="0" layoutInCell="1" allowOverlap="1" wp14:anchorId="478E94DC" wp14:editId="250B9C02">
            <wp:simplePos x="0" y="0"/>
            <wp:positionH relativeFrom="column">
              <wp:posOffset>-778510</wp:posOffset>
            </wp:positionH>
            <wp:positionV relativeFrom="paragraph">
              <wp:posOffset>-799465</wp:posOffset>
            </wp:positionV>
            <wp:extent cx="3166281" cy="742532"/>
            <wp:effectExtent l="0" t="0" r="0" b="635"/>
            <wp:wrapNone/>
            <wp:docPr id="2" name="Picture 2" descr="C:\Users\hat43177\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t43177\Desktop\Untitl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6281" cy="7425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0D1">
        <w:rPr>
          <w:sz w:val="40"/>
        </w:rPr>
        <w:t>FAST FACTS</w:t>
      </w:r>
    </w:p>
    <w:p w14:paraId="18A9C076" w14:textId="77777777" w:rsidR="000B50D1" w:rsidRDefault="00A421BA" w:rsidP="00B6171F">
      <w:pPr>
        <w:tabs>
          <w:tab w:val="left" w:pos="1320"/>
        </w:tabs>
        <w:jc w:val="center"/>
        <w:rPr>
          <w:rFonts w:ascii="Times New Roman" w:hAnsi="Times New Roman" w:cs="Times New Roman"/>
          <w:sz w:val="20"/>
          <w:szCs w:val="20"/>
        </w:rPr>
      </w:pPr>
      <w:proofErr w:type="spellStart"/>
      <w:r w:rsidRPr="002D4A3E">
        <w:rPr>
          <w:rFonts w:ascii="Times New Roman" w:hAnsi="Times New Roman" w:cs="Times New Roman"/>
          <w:b/>
          <w:bCs/>
        </w:rPr>
        <w:t>LungMAP</w:t>
      </w:r>
      <w:proofErr w:type="spellEnd"/>
      <w:r w:rsidRPr="002D4A3E">
        <w:rPr>
          <w:rFonts w:ascii="Times New Roman" w:hAnsi="Times New Roman" w:cs="Times New Roman"/>
        </w:rPr>
        <w:t>: A MASTER PROTOCOL TO EVALUATE BIOMARKER-DRIVEN THERAPIES AND IMMUNOTHERAPIES IN PREVIOUSLY-TREATED NON-SMALL CELL LUNG CANCER</w:t>
      </w:r>
      <w:r w:rsidR="00B6171F">
        <w:rPr>
          <w:rFonts w:ascii="Times New Roman" w:hAnsi="Times New Roman" w:cs="Times New Roman"/>
        </w:rPr>
        <w:t xml:space="preserve">               </w:t>
      </w:r>
      <w:proofErr w:type="gramStart"/>
      <w:r w:rsidR="00B6171F">
        <w:rPr>
          <w:rFonts w:ascii="Times New Roman" w:hAnsi="Times New Roman" w:cs="Times New Roman"/>
        </w:rPr>
        <w:t xml:space="preserve">  </w:t>
      </w:r>
      <w:r w:rsidRPr="002D4A3E">
        <w:rPr>
          <w:rFonts w:ascii="Times New Roman" w:hAnsi="Times New Roman" w:cs="Times New Roman"/>
        </w:rPr>
        <w:t xml:space="preserve"> (</w:t>
      </w:r>
      <w:proofErr w:type="gramEnd"/>
      <w:r w:rsidRPr="002D4A3E">
        <w:rPr>
          <w:rFonts w:ascii="Times New Roman" w:hAnsi="Times New Roman" w:cs="Times New Roman"/>
        </w:rPr>
        <w:t>Lung-</w:t>
      </w:r>
      <w:r w:rsidRPr="00022764">
        <w:rPr>
          <w:rFonts w:ascii="Times New Roman" w:hAnsi="Times New Roman" w:cs="Times New Roman"/>
          <w:sz w:val="20"/>
          <w:szCs w:val="20"/>
        </w:rPr>
        <w:t>MAP Screening Study)</w:t>
      </w:r>
    </w:p>
    <w:p w14:paraId="277CD555" w14:textId="77777777" w:rsidR="00484233" w:rsidRPr="00022764" w:rsidRDefault="00484233" w:rsidP="00B6171F">
      <w:pPr>
        <w:tabs>
          <w:tab w:val="left" w:pos="1320"/>
        </w:tabs>
        <w:jc w:val="center"/>
        <w:rPr>
          <w:rFonts w:ascii="Times New Roman" w:hAnsi="Times New Roman" w:cs="Times New Roman"/>
          <w:sz w:val="20"/>
          <w:szCs w:val="20"/>
        </w:rPr>
      </w:pPr>
    </w:p>
    <w:p w14:paraId="7EB9AC3F" w14:textId="38DBCCC2" w:rsidR="000B5888" w:rsidRPr="000B5888" w:rsidRDefault="000B5888" w:rsidP="000B5888">
      <w:pPr>
        <w:tabs>
          <w:tab w:val="left" w:pos="5325"/>
        </w:tabs>
        <w:rPr>
          <w:rFonts w:cstheme="minorHAnsi"/>
        </w:rPr>
      </w:pPr>
      <w:r w:rsidRPr="000B5888">
        <w:rPr>
          <w:rFonts w:cstheme="minorHAnsi"/>
          <w:b/>
          <w:bCs/>
        </w:rPr>
        <w:t xml:space="preserve">5.0 ELIGIBILITY CRITERIA </w:t>
      </w:r>
    </w:p>
    <w:p w14:paraId="3411EE71" w14:textId="2CAA4A59" w:rsidR="000B5888" w:rsidRPr="000B5888" w:rsidRDefault="000B5888" w:rsidP="000B5888">
      <w:pPr>
        <w:tabs>
          <w:tab w:val="left" w:pos="5325"/>
        </w:tabs>
        <w:rPr>
          <w:rFonts w:cstheme="minorHAnsi"/>
        </w:rPr>
      </w:pPr>
      <w:r w:rsidRPr="000B5888">
        <w:rPr>
          <w:rFonts w:cstheme="minorHAnsi"/>
        </w:rPr>
        <w:t xml:space="preserve">A list of Lung-MAP sub-studies can be found at the following location </w:t>
      </w:r>
      <w:hyperlink r:id="rId8" w:history="1">
        <w:r w:rsidRPr="000B5888">
          <w:rPr>
            <w:rStyle w:val="Hyperlink"/>
            <w:rFonts w:cstheme="minorHAnsi"/>
          </w:rPr>
          <w:t>https://www.swog.org/lung-map-resources</w:t>
        </w:r>
      </w:hyperlink>
      <w:r w:rsidRPr="000B5888">
        <w:rPr>
          <w:rFonts w:cstheme="minorHAnsi"/>
        </w:rPr>
        <w:t xml:space="preserve">. This is meant to be a </w:t>
      </w:r>
      <w:proofErr w:type="gramStart"/>
      <w:r w:rsidRPr="000B5888">
        <w:rPr>
          <w:rFonts w:cstheme="minorHAnsi"/>
        </w:rPr>
        <w:t>snapshot</w:t>
      </w:r>
      <w:proofErr w:type="gramEnd"/>
      <w:r w:rsidRPr="000B5888">
        <w:rPr>
          <w:rFonts w:cstheme="minorHAnsi"/>
        </w:rPr>
        <w:t xml:space="preserve"> and sites must continue to reference the appropriate sub-study protocol to confirm the most up-to-date and complete information. </w:t>
      </w:r>
    </w:p>
    <w:p w14:paraId="2EF52651" w14:textId="77777777" w:rsidR="000B5888" w:rsidRPr="000B5888" w:rsidRDefault="000B5888" w:rsidP="000B5888">
      <w:pPr>
        <w:tabs>
          <w:tab w:val="left" w:pos="5325"/>
        </w:tabs>
        <w:rPr>
          <w:rFonts w:cstheme="minorHAnsi"/>
          <w:b/>
          <w:bCs/>
        </w:rPr>
      </w:pPr>
      <w:r w:rsidRPr="000B5888">
        <w:rPr>
          <w:rFonts w:cstheme="minorHAnsi"/>
          <w:b/>
          <w:bCs/>
        </w:rPr>
        <w:t xml:space="preserve">5.1 Disease Related and General Criteria </w:t>
      </w:r>
    </w:p>
    <w:p w14:paraId="59B595C0" w14:textId="1BF30E47" w:rsidR="000B5888" w:rsidRPr="000B5888" w:rsidRDefault="000B5888" w:rsidP="000B5888">
      <w:pPr>
        <w:tabs>
          <w:tab w:val="left" w:pos="5325"/>
        </w:tabs>
        <w:rPr>
          <w:rFonts w:cstheme="minorHAnsi"/>
        </w:rPr>
      </w:pPr>
      <w:r w:rsidRPr="000B5888">
        <w:rPr>
          <w:rFonts w:cstheme="minorHAnsi"/>
        </w:rPr>
        <w:t xml:space="preserve">a. Participants must have pathologically or cytologically proven non-small cell lung cancer (NSCLC). Mixed histologic subtypes of NSCLC are acceptable, but any known component of small cell lung cancer is not allowed. </w:t>
      </w:r>
    </w:p>
    <w:p w14:paraId="263ED38C" w14:textId="77777777" w:rsidR="000B5888" w:rsidRPr="000B5888" w:rsidRDefault="000B5888" w:rsidP="000B5888">
      <w:pPr>
        <w:tabs>
          <w:tab w:val="left" w:pos="5325"/>
        </w:tabs>
        <w:rPr>
          <w:rFonts w:cstheme="minorHAnsi"/>
        </w:rPr>
      </w:pPr>
      <w:r w:rsidRPr="000B5888">
        <w:rPr>
          <w:rFonts w:cstheme="minorHAnsi"/>
        </w:rPr>
        <w:t xml:space="preserve">b. Participants must have Stage IV NSCLC, or recurrent or progressive NSCLC without a curative treatment option available. </w:t>
      </w:r>
    </w:p>
    <w:p w14:paraId="534671CF" w14:textId="77777777" w:rsidR="000B5888" w:rsidRPr="000B5888" w:rsidRDefault="000B5888" w:rsidP="000B5888">
      <w:pPr>
        <w:tabs>
          <w:tab w:val="left" w:pos="5325"/>
        </w:tabs>
        <w:rPr>
          <w:rFonts w:cstheme="minorHAnsi"/>
        </w:rPr>
      </w:pPr>
      <w:r w:rsidRPr="000B5888">
        <w:rPr>
          <w:rFonts w:cstheme="minorHAnsi"/>
        </w:rPr>
        <w:t xml:space="preserve">c. Participants must be ≥ 18 years of age. </w:t>
      </w:r>
    </w:p>
    <w:p w14:paraId="5088E4C5" w14:textId="77777777" w:rsidR="000B5888" w:rsidRPr="000B5888" w:rsidRDefault="000B5888" w:rsidP="000B5888">
      <w:pPr>
        <w:tabs>
          <w:tab w:val="left" w:pos="5325"/>
        </w:tabs>
        <w:rPr>
          <w:rFonts w:cstheme="minorHAnsi"/>
        </w:rPr>
      </w:pPr>
      <w:r w:rsidRPr="000B5888">
        <w:rPr>
          <w:rFonts w:cstheme="minorHAnsi"/>
        </w:rPr>
        <w:t xml:space="preserve">d. Participants’ most recent Zubrod/ECOG performance status must be 0–2 and be documented within </w:t>
      </w:r>
      <w:r w:rsidRPr="000B5888">
        <w:rPr>
          <w:rFonts w:cstheme="minorHAnsi"/>
          <w:b/>
          <w:bCs/>
        </w:rPr>
        <w:t xml:space="preserve">28 days </w:t>
      </w:r>
      <w:r w:rsidRPr="000B5888">
        <w:rPr>
          <w:rFonts w:cstheme="minorHAnsi"/>
        </w:rPr>
        <w:t xml:space="preserve">prior to registration. </w:t>
      </w:r>
    </w:p>
    <w:p w14:paraId="2EBD39DA" w14:textId="77777777" w:rsidR="000B5888" w:rsidRPr="000B5888" w:rsidRDefault="000B5888" w:rsidP="000B5888">
      <w:pPr>
        <w:tabs>
          <w:tab w:val="left" w:pos="5325"/>
        </w:tabs>
        <w:rPr>
          <w:rFonts w:cstheme="minorHAnsi"/>
        </w:rPr>
      </w:pPr>
      <w:r w:rsidRPr="000B5888">
        <w:rPr>
          <w:rFonts w:cstheme="minorHAnsi"/>
        </w:rPr>
        <w:t xml:space="preserve">e. Participants must be eligible to be </w:t>
      </w:r>
      <w:r w:rsidRPr="000B5888">
        <w:rPr>
          <w:rFonts w:cstheme="minorHAnsi"/>
          <w:b/>
          <w:bCs/>
        </w:rPr>
        <w:t xml:space="preserve">Pre-Screened </w:t>
      </w:r>
      <w:r w:rsidRPr="000B5888">
        <w:rPr>
          <w:rFonts w:cstheme="minorHAnsi"/>
        </w:rPr>
        <w:t xml:space="preserve">prior to progression (see Section 5.2) or </w:t>
      </w:r>
      <w:r w:rsidRPr="000B5888">
        <w:rPr>
          <w:rFonts w:cstheme="minorHAnsi"/>
          <w:b/>
          <w:bCs/>
        </w:rPr>
        <w:t xml:space="preserve">Screened at Progression </w:t>
      </w:r>
      <w:r w:rsidRPr="000B5888">
        <w:rPr>
          <w:rFonts w:cstheme="minorHAnsi"/>
        </w:rPr>
        <w:t xml:space="preserve">(see Section 5.3). </w:t>
      </w:r>
    </w:p>
    <w:p w14:paraId="2C612355" w14:textId="77777777" w:rsidR="000B5888" w:rsidRPr="000B5888" w:rsidRDefault="000B5888" w:rsidP="000B5888">
      <w:pPr>
        <w:tabs>
          <w:tab w:val="left" w:pos="5325"/>
        </w:tabs>
        <w:rPr>
          <w:rFonts w:cstheme="minorHAnsi"/>
          <w:b/>
          <w:bCs/>
        </w:rPr>
      </w:pPr>
      <w:r w:rsidRPr="000B5888">
        <w:rPr>
          <w:rFonts w:cstheme="minorHAnsi"/>
          <w:b/>
          <w:bCs/>
        </w:rPr>
        <w:t xml:space="preserve">5.2 Pre-Screening Eligibility Criteria </w:t>
      </w:r>
    </w:p>
    <w:p w14:paraId="25954421" w14:textId="77777777" w:rsidR="000B5888" w:rsidRPr="000B5888" w:rsidRDefault="000B5888" w:rsidP="000B5888">
      <w:pPr>
        <w:tabs>
          <w:tab w:val="left" w:pos="5325"/>
        </w:tabs>
        <w:rPr>
          <w:rFonts w:cstheme="minorHAnsi"/>
        </w:rPr>
      </w:pPr>
      <w:r w:rsidRPr="000B5888">
        <w:rPr>
          <w:rFonts w:cstheme="minorHAnsi"/>
        </w:rPr>
        <w:t xml:space="preserve">a. To be eligible to be pre-screened, participants must have tumor tissue available for on-study biomarker profiling and must meet both of the following criteria: </w:t>
      </w:r>
    </w:p>
    <w:p w14:paraId="6A636E11" w14:textId="77777777" w:rsidR="000B5888" w:rsidRPr="000B5888" w:rsidRDefault="000B5888" w:rsidP="000B5888">
      <w:pPr>
        <w:tabs>
          <w:tab w:val="left" w:pos="5325"/>
        </w:tabs>
        <w:ind w:left="720"/>
        <w:rPr>
          <w:rFonts w:cstheme="minorHAnsi"/>
        </w:rPr>
      </w:pPr>
      <w:r w:rsidRPr="000B5888">
        <w:rPr>
          <w:rFonts w:cstheme="minorHAnsi"/>
        </w:rPr>
        <w:t xml:space="preserve">1) Participants must be prior to progression on their current or most recent systemic treatment for Stage IV or recurrent/progressive NSCLC, AND </w:t>
      </w:r>
    </w:p>
    <w:p w14:paraId="64121AAF" w14:textId="29570701" w:rsidR="000B5888" w:rsidRPr="000B5888" w:rsidRDefault="000B5888" w:rsidP="000B5888">
      <w:pPr>
        <w:tabs>
          <w:tab w:val="left" w:pos="5325"/>
        </w:tabs>
        <w:ind w:left="720"/>
        <w:rPr>
          <w:rFonts w:cstheme="minorHAnsi"/>
        </w:rPr>
      </w:pPr>
      <w:r w:rsidRPr="000B5888">
        <w:rPr>
          <w:rFonts w:cstheme="minorHAnsi"/>
        </w:rPr>
        <w:t xml:space="preserve">2) Participants must have previously received or currently be receiving a first-line standard of care therapy for Stage IV or recurrent/progressive NSCLC. Participants may have received multiple lines of therapy for Stage IV or recurrent/progressive NSCLC. </w:t>
      </w:r>
    </w:p>
    <w:p w14:paraId="25969453" w14:textId="77777777" w:rsidR="000B5888" w:rsidRPr="000B5888" w:rsidRDefault="000B5888" w:rsidP="000B5888">
      <w:pPr>
        <w:tabs>
          <w:tab w:val="left" w:pos="5325"/>
        </w:tabs>
        <w:rPr>
          <w:rFonts w:cstheme="minorHAnsi"/>
        </w:rPr>
      </w:pPr>
      <w:r w:rsidRPr="000B5888">
        <w:rPr>
          <w:rFonts w:cstheme="minorHAnsi"/>
          <w:b/>
          <w:bCs/>
        </w:rPr>
        <w:t xml:space="preserve">NOTE: </w:t>
      </w:r>
      <w:r w:rsidRPr="000B5888">
        <w:rPr>
          <w:rFonts w:cstheme="minorHAnsi"/>
        </w:rPr>
        <w:t xml:space="preserve">Participants using previously completed biomarker test are not eligible to be Pre-Screened and must only register to be Screened at Progression. See Section 5.3. </w:t>
      </w:r>
    </w:p>
    <w:p w14:paraId="1CC50B72" w14:textId="77777777" w:rsidR="000B5888" w:rsidRPr="000B5888" w:rsidRDefault="000B5888" w:rsidP="000B5888">
      <w:pPr>
        <w:tabs>
          <w:tab w:val="left" w:pos="5325"/>
        </w:tabs>
        <w:rPr>
          <w:rFonts w:cstheme="minorHAnsi"/>
        </w:rPr>
      </w:pPr>
      <w:r w:rsidRPr="000B5888">
        <w:rPr>
          <w:rFonts w:cstheme="minorHAnsi"/>
          <w:b/>
          <w:bCs/>
        </w:rPr>
        <w:lastRenderedPageBreak/>
        <w:t xml:space="preserve">Sub-study assignments are provided for Pre-Screened participants when the LUNGMAP Notice of Progression Form is submitted in RAVE. </w:t>
      </w:r>
    </w:p>
    <w:p w14:paraId="4E54DF58" w14:textId="77777777" w:rsidR="000B5888" w:rsidRPr="000B5888" w:rsidRDefault="000B5888" w:rsidP="000B5888">
      <w:pPr>
        <w:tabs>
          <w:tab w:val="left" w:pos="5325"/>
        </w:tabs>
        <w:rPr>
          <w:rFonts w:cstheme="minorHAnsi"/>
        </w:rPr>
      </w:pPr>
      <w:r w:rsidRPr="000B5888">
        <w:rPr>
          <w:rFonts w:cstheme="minorHAnsi"/>
        </w:rPr>
        <w:t xml:space="preserve">Participants receiving </w:t>
      </w:r>
      <w:proofErr w:type="spellStart"/>
      <w:r w:rsidRPr="000B5888">
        <w:rPr>
          <w:rFonts w:cstheme="minorHAnsi"/>
        </w:rPr>
        <w:t>osimertinib</w:t>
      </w:r>
      <w:proofErr w:type="spellEnd"/>
      <w:r w:rsidRPr="000B5888">
        <w:rPr>
          <w:rFonts w:cstheme="minorHAnsi"/>
        </w:rPr>
        <w:t xml:space="preserve"> interested in participating in </w:t>
      </w:r>
      <w:r w:rsidRPr="000B5888">
        <w:rPr>
          <w:rFonts w:cstheme="minorHAnsi"/>
          <w:b/>
          <w:bCs/>
        </w:rPr>
        <w:t xml:space="preserve">S1900G </w:t>
      </w:r>
      <w:r w:rsidRPr="000B5888">
        <w:rPr>
          <w:rFonts w:cstheme="minorHAnsi"/>
        </w:rPr>
        <w:t xml:space="preserve">must not be pre-screened and will need a post-progression assessment of MET amplification status (on tissue or blood) due to the </w:t>
      </w:r>
      <w:r w:rsidRPr="000B5888">
        <w:rPr>
          <w:rFonts w:cstheme="minorHAnsi"/>
          <w:b/>
          <w:bCs/>
        </w:rPr>
        <w:t xml:space="preserve">S1900G </w:t>
      </w:r>
      <w:r w:rsidRPr="000B5888">
        <w:rPr>
          <w:rFonts w:cstheme="minorHAnsi"/>
        </w:rPr>
        <w:t xml:space="preserve">eligibility (see </w:t>
      </w:r>
      <w:r w:rsidRPr="000B5888">
        <w:rPr>
          <w:rFonts w:cstheme="minorHAnsi"/>
          <w:b/>
          <w:bCs/>
        </w:rPr>
        <w:t xml:space="preserve">S1900G </w:t>
      </w:r>
      <w:r w:rsidRPr="000B5888">
        <w:rPr>
          <w:rFonts w:cstheme="minorHAnsi"/>
        </w:rPr>
        <w:t xml:space="preserve">section 5.1.c). </w:t>
      </w:r>
    </w:p>
    <w:p w14:paraId="2908FF06" w14:textId="77777777" w:rsidR="000B5888" w:rsidRPr="000B5888" w:rsidRDefault="000B5888" w:rsidP="000B5888">
      <w:pPr>
        <w:tabs>
          <w:tab w:val="left" w:pos="5325"/>
        </w:tabs>
        <w:rPr>
          <w:rFonts w:cstheme="minorHAnsi"/>
          <w:b/>
          <w:bCs/>
        </w:rPr>
      </w:pPr>
      <w:r w:rsidRPr="000B5888">
        <w:rPr>
          <w:rFonts w:cstheme="minorHAnsi"/>
          <w:b/>
          <w:bCs/>
        </w:rPr>
        <w:t xml:space="preserve">5.3 Screening at Progression Eligibility Criteria </w:t>
      </w:r>
    </w:p>
    <w:p w14:paraId="592C4AAA" w14:textId="77777777" w:rsidR="000B5888" w:rsidRPr="000B5888" w:rsidRDefault="000B5888" w:rsidP="000B5888">
      <w:pPr>
        <w:tabs>
          <w:tab w:val="left" w:pos="5325"/>
        </w:tabs>
        <w:rPr>
          <w:rFonts w:cstheme="minorHAnsi"/>
        </w:rPr>
      </w:pPr>
      <w:r w:rsidRPr="000B5888">
        <w:rPr>
          <w:rFonts w:cstheme="minorHAnsi"/>
        </w:rPr>
        <w:t xml:space="preserve">a. To be eligible to be screened at progression, participants must meet the following criteria for prior treatment of NSCLC. Specifically, participants: </w:t>
      </w:r>
    </w:p>
    <w:p w14:paraId="13395286" w14:textId="77777777" w:rsidR="000B5888" w:rsidRPr="000B5888" w:rsidRDefault="000B5888" w:rsidP="000B5888">
      <w:pPr>
        <w:tabs>
          <w:tab w:val="left" w:pos="5325"/>
        </w:tabs>
        <w:ind w:left="720"/>
        <w:rPr>
          <w:rFonts w:cstheme="minorHAnsi"/>
        </w:rPr>
      </w:pPr>
      <w:r w:rsidRPr="000B5888">
        <w:rPr>
          <w:rFonts w:cstheme="minorHAnsi"/>
        </w:rPr>
        <w:t xml:space="preserve">1) Must have received at least one line of systemic standard of care therapy for Stage I-IV NSCLC, AND </w:t>
      </w:r>
    </w:p>
    <w:p w14:paraId="191F8E56" w14:textId="77777777" w:rsidR="000B5888" w:rsidRPr="000B5888" w:rsidRDefault="000B5888" w:rsidP="000B5888">
      <w:pPr>
        <w:tabs>
          <w:tab w:val="left" w:pos="5325"/>
        </w:tabs>
        <w:ind w:left="720"/>
        <w:rPr>
          <w:rFonts w:cstheme="minorHAnsi"/>
        </w:rPr>
      </w:pPr>
      <w:r w:rsidRPr="000B5888">
        <w:rPr>
          <w:rFonts w:cstheme="minorHAnsi"/>
        </w:rPr>
        <w:t xml:space="preserve">2) Must have progressed during or following their most recent line of systemic therapy for NSCLC, AND </w:t>
      </w:r>
    </w:p>
    <w:p w14:paraId="1DDDD18A" w14:textId="7C37C588" w:rsidR="000B5888" w:rsidRPr="000B5888" w:rsidRDefault="000B5888" w:rsidP="000B5888">
      <w:pPr>
        <w:tabs>
          <w:tab w:val="left" w:pos="5325"/>
        </w:tabs>
        <w:ind w:left="720"/>
        <w:rPr>
          <w:rFonts w:cstheme="minorHAnsi"/>
        </w:rPr>
      </w:pPr>
      <w:r w:rsidRPr="000B5888">
        <w:rPr>
          <w:rFonts w:cstheme="minorHAnsi"/>
        </w:rPr>
        <w:t xml:space="preserve">3) If participant has not received any prior systemic therapy for Stage IV or recurrent/progressive NSCLC, disease progression on prior systemic therapy for Stage I-III disease must have occurred within </w:t>
      </w:r>
      <w:r w:rsidRPr="000B5888">
        <w:rPr>
          <w:rFonts w:cstheme="minorHAnsi"/>
          <w:b/>
          <w:bCs/>
        </w:rPr>
        <w:t xml:space="preserve">(≤) 180 days </w:t>
      </w:r>
      <w:r w:rsidRPr="000B5888">
        <w:rPr>
          <w:rFonts w:cstheme="minorHAnsi"/>
        </w:rPr>
        <w:t xml:space="preserve">from the last date that participant received that therapy. If disease progression was greater than </w:t>
      </w:r>
      <w:r w:rsidRPr="000B5888">
        <w:rPr>
          <w:rFonts w:cstheme="minorHAnsi"/>
          <w:b/>
          <w:bCs/>
        </w:rPr>
        <w:t xml:space="preserve">(&gt;) 180 days </w:t>
      </w:r>
      <w:r w:rsidRPr="000B5888">
        <w:rPr>
          <w:rFonts w:cstheme="minorHAnsi"/>
        </w:rPr>
        <w:t>after the last dose of therapy for stage I-III disease, participants must receive standard-of-care therapy for stage IV or recurrent/progressive disease and experience disease progression during or after this therapy to be eligible</w:t>
      </w:r>
      <w:r w:rsidRPr="000B5888">
        <w:rPr>
          <w:rFonts w:cstheme="minorHAnsi"/>
        </w:rPr>
        <w:t>.</w:t>
      </w:r>
      <w:r w:rsidRPr="000B5888">
        <w:rPr>
          <w:rFonts w:cstheme="minorHAnsi"/>
        </w:rPr>
        <w:t xml:space="preserve"> </w:t>
      </w:r>
    </w:p>
    <w:p w14:paraId="61BC4FCE" w14:textId="77777777" w:rsidR="000B5888" w:rsidRPr="000B5888" w:rsidRDefault="000B5888" w:rsidP="000B5888">
      <w:pPr>
        <w:tabs>
          <w:tab w:val="left" w:pos="5325"/>
        </w:tabs>
        <w:rPr>
          <w:rFonts w:cstheme="minorHAnsi"/>
        </w:rPr>
      </w:pPr>
      <w:r w:rsidRPr="000B5888">
        <w:rPr>
          <w:rFonts w:cstheme="minorHAnsi"/>
        </w:rPr>
        <w:t xml:space="preserve">b. To be eligible to be screened at progression, participants must meet one of the following criteria for biomarker testing: </w:t>
      </w:r>
    </w:p>
    <w:p w14:paraId="104E8647" w14:textId="77777777" w:rsidR="000B5888" w:rsidRPr="000B5888" w:rsidRDefault="000B5888" w:rsidP="000B5888">
      <w:pPr>
        <w:tabs>
          <w:tab w:val="left" w:pos="5325"/>
        </w:tabs>
        <w:ind w:left="720"/>
        <w:rPr>
          <w:rFonts w:cstheme="minorHAnsi"/>
        </w:rPr>
      </w:pPr>
      <w:r w:rsidRPr="000B5888">
        <w:rPr>
          <w:rFonts w:cstheme="minorHAnsi"/>
        </w:rPr>
        <w:t xml:space="preserve">1) have tumor tissue available for on-study biomarker profiling, OR </w:t>
      </w:r>
    </w:p>
    <w:p w14:paraId="2F820F9C" w14:textId="77777777" w:rsidR="000B5888" w:rsidRPr="000B5888" w:rsidRDefault="000B5888" w:rsidP="000B5888">
      <w:pPr>
        <w:tabs>
          <w:tab w:val="left" w:pos="5325"/>
        </w:tabs>
        <w:ind w:left="720"/>
        <w:rPr>
          <w:rFonts w:cstheme="minorHAnsi"/>
        </w:rPr>
      </w:pPr>
      <w:r w:rsidRPr="000B5888">
        <w:rPr>
          <w:rFonts w:cstheme="minorHAnsi"/>
        </w:rPr>
        <w:t xml:space="preserve">2) have documentation of a previously completed Next Generation Sequencing (NGS) test on the list of approved tests (see the </w:t>
      </w:r>
      <w:r w:rsidRPr="000B5888">
        <w:rPr>
          <w:rFonts w:cstheme="minorHAnsi"/>
          <w:b/>
          <w:bCs/>
        </w:rPr>
        <w:t xml:space="preserve">LUNGMAP </w:t>
      </w:r>
      <w:r w:rsidRPr="000B5888">
        <w:rPr>
          <w:rFonts w:cstheme="minorHAnsi"/>
        </w:rPr>
        <w:t xml:space="preserve">NGS Testing Reference Page at http://www.swog.org/lung-map-resources), OR </w:t>
      </w:r>
    </w:p>
    <w:p w14:paraId="2B9DA7E5" w14:textId="77777777" w:rsidR="000B5888" w:rsidRPr="000B5888" w:rsidRDefault="000B5888" w:rsidP="000B5888">
      <w:pPr>
        <w:tabs>
          <w:tab w:val="left" w:pos="5325"/>
        </w:tabs>
        <w:ind w:left="720"/>
        <w:rPr>
          <w:rFonts w:cstheme="minorHAnsi"/>
        </w:rPr>
      </w:pPr>
      <w:r w:rsidRPr="000B5888">
        <w:rPr>
          <w:rFonts w:cstheme="minorHAnsi"/>
        </w:rPr>
        <w:t xml:space="preserve">3) have documentation of a previously completed NGS test not on the list of approved tests, have submitted a report to LUNGMAPNGS@swog.org for review, and have an e-mail documenting the test is acceptable (see Section 15.4), OR </w:t>
      </w:r>
    </w:p>
    <w:p w14:paraId="32D779EE" w14:textId="02A1F47C" w:rsidR="000B5888" w:rsidRPr="000B5888" w:rsidRDefault="000B5888" w:rsidP="000B5888">
      <w:pPr>
        <w:tabs>
          <w:tab w:val="left" w:pos="5325"/>
        </w:tabs>
        <w:ind w:left="720"/>
        <w:rPr>
          <w:rFonts w:cstheme="minorHAnsi"/>
        </w:rPr>
      </w:pPr>
      <w:r w:rsidRPr="000B5888">
        <w:rPr>
          <w:rFonts w:cstheme="minorHAnsi"/>
        </w:rPr>
        <w:t xml:space="preserve">4) Have documentation of the presence of a specific biomarker (or set of biomarkers) for one of the biomarker-driven sub-studies open at the time of registration and have submitted a report to LUNGMAPNGS@swog.org with an e-mail documenting that the test is acceptable (see Section 15.4). </w:t>
      </w:r>
    </w:p>
    <w:p w14:paraId="0F6D77F4" w14:textId="77777777" w:rsidR="000B5888" w:rsidRPr="000B5888" w:rsidRDefault="000B5888" w:rsidP="000B5888">
      <w:pPr>
        <w:tabs>
          <w:tab w:val="left" w:pos="5325"/>
        </w:tabs>
        <w:rPr>
          <w:rFonts w:cstheme="minorHAnsi"/>
        </w:rPr>
      </w:pPr>
      <w:r w:rsidRPr="000B5888">
        <w:rPr>
          <w:rFonts w:cstheme="minorHAnsi"/>
          <w:b/>
          <w:bCs/>
        </w:rPr>
        <w:lastRenderedPageBreak/>
        <w:t xml:space="preserve">NOTE: </w:t>
      </w:r>
      <w:r w:rsidRPr="000B5888">
        <w:rPr>
          <w:rFonts w:cstheme="minorHAnsi"/>
        </w:rPr>
        <w:t xml:space="preserve">For participants with known EGFR mutation positive, MET amplification positive NSCLC that are screening for entry into </w:t>
      </w:r>
      <w:r w:rsidRPr="000B5888">
        <w:rPr>
          <w:rFonts w:cstheme="minorHAnsi"/>
          <w:b/>
          <w:bCs/>
        </w:rPr>
        <w:t>S1900G</w:t>
      </w:r>
      <w:r w:rsidRPr="000B5888">
        <w:rPr>
          <w:rFonts w:cstheme="minorHAnsi"/>
        </w:rPr>
        <w:t xml:space="preserve">, the tissue specimen must have been obtained after radiographic or clinical progression on </w:t>
      </w:r>
      <w:proofErr w:type="spellStart"/>
      <w:r w:rsidRPr="000B5888">
        <w:rPr>
          <w:rFonts w:cstheme="minorHAnsi"/>
        </w:rPr>
        <w:t>osimertinib</w:t>
      </w:r>
      <w:proofErr w:type="spellEnd"/>
      <w:r w:rsidRPr="000B5888">
        <w:rPr>
          <w:rFonts w:cstheme="minorHAnsi"/>
        </w:rPr>
        <w:t xml:space="preserve">. </w:t>
      </w:r>
    </w:p>
    <w:p w14:paraId="759F92F8" w14:textId="77777777" w:rsidR="000B5888" w:rsidRPr="000B5888" w:rsidRDefault="000B5888" w:rsidP="000B5888">
      <w:pPr>
        <w:tabs>
          <w:tab w:val="left" w:pos="5325"/>
        </w:tabs>
        <w:rPr>
          <w:rFonts w:cstheme="minorHAnsi"/>
          <w:b/>
          <w:bCs/>
        </w:rPr>
      </w:pPr>
      <w:r w:rsidRPr="000B5888">
        <w:rPr>
          <w:rFonts w:cstheme="minorHAnsi"/>
          <w:b/>
          <w:bCs/>
        </w:rPr>
        <w:t xml:space="preserve">5.4 Specimen Submission for On-Study Biomarker Profiling Criteria </w:t>
      </w:r>
    </w:p>
    <w:p w14:paraId="05D6314E" w14:textId="77777777" w:rsidR="000B5888" w:rsidRPr="000B5888" w:rsidRDefault="000B5888" w:rsidP="000B5888">
      <w:pPr>
        <w:tabs>
          <w:tab w:val="left" w:pos="5325"/>
        </w:tabs>
        <w:rPr>
          <w:rFonts w:cstheme="minorHAnsi"/>
        </w:rPr>
      </w:pPr>
      <w:r w:rsidRPr="000B5888">
        <w:rPr>
          <w:rFonts w:cstheme="minorHAnsi"/>
        </w:rPr>
        <w:t xml:space="preserve">a. For participants submitting tissue for on-study biomarker profiling, </w:t>
      </w:r>
      <w:proofErr w:type="gramStart"/>
      <w:r w:rsidRPr="000B5888">
        <w:rPr>
          <w:rFonts w:cstheme="minorHAnsi"/>
        </w:rPr>
        <w:t>all of</w:t>
      </w:r>
      <w:proofErr w:type="gramEnd"/>
      <w:r w:rsidRPr="000B5888">
        <w:rPr>
          <w:rFonts w:cstheme="minorHAnsi"/>
        </w:rPr>
        <w:t xml:space="preserve"> the following criteria must be met: </w:t>
      </w:r>
    </w:p>
    <w:p w14:paraId="052E1E88" w14:textId="77777777" w:rsidR="000B5888" w:rsidRPr="000B5888" w:rsidRDefault="000B5888" w:rsidP="000B5888">
      <w:pPr>
        <w:pStyle w:val="ListParagraph"/>
        <w:numPr>
          <w:ilvl w:val="0"/>
          <w:numId w:val="16"/>
        </w:numPr>
        <w:tabs>
          <w:tab w:val="left" w:pos="5325"/>
        </w:tabs>
        <w:rPr>
          <w:rFonts w:cstheme="minorHAnsi"/>
        </w:rPr>
      </w:pPr>
      <w:r w:rsidRPr="000B5888">
        <w:rPr>
          <w:rFonts w:cstheme="minorHAnsi"/>
        </w:rPr>
        <w:t xml:space="preserve">A formalin-fixed and paraffin-embedded (FFPE) tumor block, or at least 12 unstained slides plus an H&amp;E-stained slide or 13 unstained FFPE slides 4-5 microns thick must be available for submission, AND </w:t>
      </w:r>
    </w:p>
    <w:p w14:paraId="55560CCA" w14:textId="77777777" w:rsidR="000B5888" w:rsidRPr="000B5888" w:rsidRDefault="000B5888" w:rsidP="000B5888">
      <w:pPr>
        <w:pStyle w:val="ListParagraph"/>
        <w:numPr>
          <w:ilvl w:val="0"/>
          <w:numId w:val="16"/>
        </w:numPr>
        <w:tabs>
          <w:tab w:val="left" w:pos="5325"/>
        </w:tabs>
        <w:rPr>
          <w:rFonts w:cstheme="minorHAnsi"/>
        </w:rPr>
      </w:pPr>
      <w:r w:rsidRPr="000B5888">
        <w:rPr>
          <w:rFonts w:cstheme="minorHAnsi"/>
        </w:rPr>
        <w:t xml:space="preserve">Participants must agree to have this tissue submitted to Foundation Medicine for common broad platform CLIA biomarker profiling (see Section 15.3a), AND </w:t>
      </w:r>
    </w:p>
    <w:p w14:paraId="613582DD" w14:textId="77777777" w:rsidR="000B5888" w:rsidRPr="000B5888" w:rsidRDefault="000B5888" w:rsidP="000B5888">
      <w:pPr>
        <w:pStyle w:val="ListParagraph"/>
        <w:numPr>
          <w:ilvl w:val="0"/>
          <w:numId w:val="16"/>
        </w:numPr>
        <w:tabs>
          <w:tab w:val="left" w:pos="5325"/>
        </w:tabs>
        <w:rPr>
          <w:rFonts w:cstheme="minorHAnsi"/>
        </w:rPr>
      </w:pPr>
      <w:r w:rsidRPr="000B5888">
        <w:rPr>
          <w:rFonts w:cstheme="minorHAnsi"/>
        </w:rPr>
        <w:t xml:space="preserve">Participants must agree to have any leftover tissue (tissue that remains after biomarker testing) retained for the use of future correlative studies, AND </w:t>
      </w:r>
    </w:p>
    <w:p w14:paraId="5CEA3E30" w14:textId="77777777" w:rsidR="000B5888" w:rsidRPr="000B5888" w:rsidRDefault="000B5888" w:rsidP="000B5888">
      <w:pPr>
        <w:pStyle w:val="ListParagraph"/>
        <w:numPr>
          <w:ilvl w:val="0"/>
          <w:numId w:val="16"/>
        </w:numPr>
        <w:tabs>
          <w:tab w:val="left" w:pos="5325"/>
        </w:tabs>
        <w:rPr>
          <w:rFonts w:cstheme="minorHAnsi"/>
        </w:rPr>
      </w:pPr>
      <w:r w:rsidRPr="000B5888">
        <w:rPr>
          <w:rFonts w:cstheme="minorHAnsi"/>
        </w:rPr>
        <w:t xml:space="preserve">The tumor sample must have ≥ 20% tumor cells and ≥ 0.2 mm3 tumor volume, AND </w:t>
      </w:r>
    </w:p>
    <w:p w14:paraId="10E02066" w14:textId="695F9123" w:rsidR="000B5888" w:rsidRPr="000B5888" w:rsidRDefault="000B5888" w:rsidP="000B5888">
      <w:pPr>
        <w:pStyle w:val="ListParagraph"/>
        <w:numPr>
          <w:ilvl w:val="0"/>
          <w:numId w:val="16"/>
        </w:numPr>
        <w:tabs>
          <w:tab w:val="left" w:pos="5325"/>
        </w:tabs>
        <w:rPr>
          <w:rFonts w:cstheme="minorHAnsi"/>
        </w:rPr>
      </w:pPr>
      <w:r w:rsidRPr="000B5888">
        <w:rPr>
          <w:rFonts w:cstheme="minorHAnsi"/>
        </w:rPr>
        <w:t xml:space="preserve">The tumor sample must not be from a bone biopsy unless the specimen is entirely soft tissue or has not been decalcified. All other sites of tumor are acceptable, given the specimen meets all requirements. </w:t>
      </w:r>
    </w:p>
    <w:p w14:paraId="0147A6E0" w14:textId="77777777" w:rsidR="000B5888" w:rsidRPr="000B5888" w:rsidRDefault="000B5888" w:rsidP="000B5888">
      <w:pPr>
        <w:tabs>
          <w:tab w:val="left" w:pos="5325"/>
        </w:tabs>
        <w:rPr>
          <w:rFonts w:cstheme="minorHAnsi"/>
        </w:rPr>
      </w:pPr>
      <w:r w:rsidRPr="000B5888">
        <w:rPr>
          <w:rFonts w:cstheme="minorHAnsi"/>
          <w:b/>
          <w:bCs/>
        </w:rPr>
        <w:t xml:space="preserve">NOTE: </w:t>
      </w:r>
      <w:r w:rsidRPr="000B5888">
        <w:rPr>
          <w:rFonts w:cstheme="minorHAnsi"/>
        </w:rPr>
        <w:t xml:space="preserve">Liquid specimens like pleural fluid are acceptable if they meet cellularity requirements and are mounted on an FFPE block. </w:t>
      </w:r>
    </w:p>
    <w:p w14:paraId="34D98D3B" w14:textId="77777777" w:rsidR="000B5888" w:rsidRPr="000B5888" w:rsidRDefault="000B5888" w:rsidP="000B5888">
      <w:pPr>
        <w:tabs>
          <w:tab w:val="left" w:pos="5325"/>
        </w:tabs>
        <w:rPr>
          <w:rFonts w:cstheme="minorHAnsi"/>
          <w:b/>
          <w:bCs/>
        </w:rPr>
      </w:pPr>
      <w:r w:rsidRPr="000B5888">
        <w:rPr>
          <w:rFonts w:cstheme="minorHAnsi"/>
          <w:b/>
          <w:bCs/>
        </w:rPr>
        <w:t xml:space="preserve">5.5 Prior Biomarker Test Submission Criteria </w:t>
      </w:r>
    </w:p>
    <w:p w14:paraId="190BF092" w14:textId="77777777" w:rsidR="000B5888" w:rsidRPr="000B5888" w:rsidRDefault="000B5888" w:rsidP="000B5888">
      <w:pPr>
        <w:tabs>
          <w:tab w:val="left" w:pos="5325"/>
        </w:tabs>
        <w:rPr>
          <w:rFonts w:cstheme="minorHAnsi"/>
        </w:rPr>
      </w:pPr>
      <w:r w:rsidRPr="000B5888">
        <w:rPr>
          <w:rFonts w:cstheme="minorHAnsi"/>
        </w:rPr>
        <w:t xml:space="preserve">a. For participants providing documentation of a previously completed test on the list of approved tests/laboratories, </w:t>
      </w:r>
      <w:proofErr w:type="gramStart"/>
      <w:r w:rsidRPr="000B5888">
        <w:rPr>
          <w:rFonts w:cstheme="minorHAnsi"/>
        </w:rPr>
        <w:t>ALL of</w:t>
      </w:r>
      <w:proofErr w:type="gramEnd"/>
      <w:r w:rsidRPr="000B5888">
        <w:rPr>
          <w:rFonts w:cstheme="minorHAnsi"/>
        </w:rPr>
        <w:t xml:space="preserve"> the following criteria must be met: </w:t>
      </w:r>
    </w:p>
    <w:p w14:paraId="7A18D1BD" w14:textId="77777777" w:rsidR="000B5888" w:rsidRPr="000B5888" w:rsidRDefault="000B5888" w:rsidP="000B5888">
      <w:pPr>
        <w:pStyle w:val="ListParagraph"/>
        <w:numPr>
          <w:ilvl w:val="0"/>
          <w:numId w:val="17"/>
        </w:numPr>
        <w:tabs>
          <w:tab w:val="left" w:pos="5325"/>
        </w:tabs>
        <w:rPr>
          <w:rFonts w:cstheme="minorHAnsi"/>
        </w:rPr>
      </w:pPr>
      <w:r w:rsidRPr="000B5888">
        <w:rPr>
          <w:rFonts w:cstheme="minorHAnsi"/>
        </w:rPr>
        <w:t xml:space="preserve">The full biomarker report must be available to upload as source documentation in RAVE. </w:t>
      </w:r>
    </w:p>
    <w:p w14:paraId="50EFD484" w14:textId="6CE39B49" w:rsidR="000B5888" w:rsidRPr="000B5888" w:rsidRDefault="000B5888" w:rsidP="000B5888">
      <w:pPr>
        <w:numPr>
          <w:ilvl w:val="1"/>
          <w:numId w:val="13"/>
        </w:numPr>
        <w:tabs>
          <w:tab w:val="left" w:pos="5325"/>
        </w:tabs>
        <w:rPr>
          <w:rFonts w:cstheme="minorHAnsi"/>
        </w:rPr>
      </w:pPr>
      <w:r w:rsidRPr="000B5888">
        <w:rPr>
          <w:rFonts w:cstheme="minorHAnsi"/>
        </w:rPr>
        <w:t xml:space="preserve">The report must provide documentation of the following: </w:t>
      </w:r>
    </w:p>
    <w:p w14:paraId="253326CD" w14:textId="7C3E3B69" w:rsidR="000B5888" w:rsidRPr="000B5888" w:rsidRDefault="000B5888" w:rsidP="001B39DE">
      <w:pPr>
        <w:pStyle w:val="ListParagraph"/>
        <w:numPr>
          <w:ilvl w:val="0"/>
          <w:numId w:val="22"/>
        </w:numPr>
        <w:tabs>
          <w:tab w:val="left" w:pos="5325"/>
        </w:tabs>
        <w:rPr>
          <w:rFonts w:cstheme="minorHAnsi"/>
        </w:rPr>
      </w:pPr>
      <w:r w:rsidRPr="000B5888">
        <w:rPr>
          <w:rFonts w:cstheme="minorHAnsi"/>
        </w:rPr>
        <w:t xml:space="preserve">That the test was done on solid tumor tissue or blood (indicating which) </w:t>
      </w:r>
    </w:p>
    <w:p w14:paraId="663D3773" w14:textId="2D4CC9FE" w:rsidR="000B5888" w:rsidRPr="000B5888" w:rsidRDefault="000B5888" w:rsidP="001B39DE">
      <w:pPr>
        <w:pStyle w:val="ListParagraph"/>
        <w:numPr>
          <w:ilvl w:val="0"/>
          <w:numId w:val="22"/>
        </w:numPr>
        <w:tabs>
          <w:tab w:val="left" w:pos="5325"/>
        </w:tabs>
        <w:rPr>
          <w:rFonts w:cstheme="minorHAnsi"/>
        </w:rPr>
      </w:pPr>
      <w:r w:rsidRPr="000B5888">
        <w:rPr>
          <w:rFonts w:cstheme="minorHAnsi"/>
        </w:rPr>
        <w:t xml:space="preserve">That the original report date on or after September 1, 2019. </w:t>
      </w:r>
    </w:p>
    <w:p w14:paraId="6FFD4AFC" w14:textId="06B722EE" w:rsidR="000B5888" w:rsidRPr="000B5888" w:rsidRDefault="000B5888" w:rsidP="001B39DE">
      <w:pPr>
        <w:pStyle w:val="ListParagraph"/>
        <w:numPr>
          <w:ilvl w:val="0"/>
          <w:numId w:val="22"/>
        </w:numPr>
        <w:tabs>
          <w:tab w:val="left" w:pos="5325"/>
        </w:tabs>
        <w:rPr>
          <w:rFonts w:cstheme="minorHAnsi"/>
        </w:rPr>
      </w:pPr>
      <w:r w:rsidRPr="000B5888">
        <w:rPr>
          <w:rFonts w:cstheme="minorHAnsi"/>
        </w:rPr>
        <w:t xml:space="preserve">The participant must have consented to have these test results disclosed to SWOG Cancer Research Network (see Section 15.4). </w:t>
      </w:r>
    </w:p>
    <w:p w14:paraId="6332A66C" w14:textId="77777777" w:rsidR="000B5888" w:rsidRPr="000B5888" w:rsidRDefault="000B5888" w:rsidP="000B5888">
      <w:pPr>
        <w:tabs>
          <w:tab w:val="left" w:pos="5325"/>
        </w:tabs>
        <w:rPr>
          <w:rFonts w:cstheme="minorHAnsi"/>
        </w:rPr>
      </w:pPr>
      <w:r w:rsidRPr="000B5888">
        <w:rPr>
          <w:rFonts w:cstheme="minorHAnsi"/>
        </w:rPr>
        <w:t xml:space="preserve">b. For participants providing documentation of a previously completed test NOT on the list of approved labs, the test and associated documentation must meet ALL the following criteria: </w:t>
      </w:r>
    </w:p>
    <w:p w14:paraId="29276742" w14:textId="77777777" w:rsidR="000B5888" w:rsidRPr="000B5888" w:rsidRDefault="000B5888" w:rsidP="000B5888">
      <w:pPr>
        <w:pStyle w:val="ListParagraph"/>
        <w:numPr>
          <w:ilvl w:val="0"/>
          <w:numId w:val="21"/>
        </w:numPr>
        <w:tabs>
          <w:tab w:val="left" w:pos="5325"/>
        </w:tabs>
        <w:rPr>
          <w:rFonts w:cstheme="minorHAnsi"/>
        </w:rPr>
      </w:pPr>
      <w:r w:rsidRPr="000B5888">
        <w:rPr>
          <w:rFonts w:cstheme="minorHAnsi"/>
        </w:rPr>
        <w:t xml:space="preserve">The full biomarker report must be available to upload as source documentation in RAVE. </w:t>
      </w:r>
    </w:p>
    <w:p w14:paraId="67B129A3" w14:textId="43852282" w:rsidR="000B5888" w:rsidRPr="000B5888" w:rsidRDefault="000B5888" w:rsidP="000B5888">
      <w:pPr>
        <w:pStyle w:val="ListParagraph"/>
        <w:numPr>
          <w:ilvl w:val="0"/>
          <w:numId w:val="21"/>
        </w:numPr>
        <w:tabs>
          <w:tab w:val="left" w:pos="5325"/>
        </w:tabs>
        <w:rPr>
          <w:rFonts w:cstheme="minorHAnsi"/>
        </w:rPr>
      </w:pPr>
      <w:r w:rsidRPr="000B5888">
        <w:rPr>
          <w:rFonts w:cstheme="minorHAnsi"/>
        </w:rPr>
        <w:t>T</w:t>
      </w:r>
      <w:r w:rsidRPr="000B5888">
        <w:rPr>
          <w:rFonts w:cstheme="minorHAnsi"/>
        </w:rPr>
        <w:t xml:space="preserve">he test must have been performed within a laboratory with CLIA, ISO/IEC, CAP, or similar certification. </w:t>
      </w:r>
    </w:p>
    <w:p w14:paraId="12974A2E" w14:textId="77777777" w:rsidR="000B5888" w:rsidRPr="000B5888" w:rsidRDefault="000B5888" w:rsidP="000B5888">
      <w:pPr>
        <w:pStyle w:val="ListParagraph"/>
        <w:numPr>
          <w:ilvl w:val="0"/>
          <w:numId w:val="21"/>
        </w:numPr>
        <w:tabs>
          <w:tab w:val="left" w:pos="5325"/>
        </w:tabs>
        <w:rPr>
          <w:rFonts w:cstheme="minorHAnsi"/>
        </w:rPr>
      </w:pPr>
      <w:r w:rsidRPr="000B5888">
        <w:rPr>
          <w:rFonts w:cstheme="minorHAnsi"/>
        </w:rPr>
        <w:lastRenderedPageBreak/>
        <w:t xml:space="preserve">The report must show that the test was done on solid tumor tissue or blood (indicating which). </w:t>
      </w:r>
    </w:p>
    <w:p w14:paraId="510572C5" w14:textId="77777777" w:rsidR="000B5888" w:rsidRPr="000B5888" w:rsidRDefault="000B5888" w:rsidP="000B5888">
      <w:pPr>
        <w:pStyle w:val="ListParagraph"/>
        <w:numPr>
          <w:ilvl w:val="0"/>
          <w:numId w:val="21"/>
        </w:numPr>
        <w:tabs>
          <w:tab w:val="left" w:pos="5325"/>
        </w:tabs>
        <w:rPr>
          <w:rFonts w:cstheme="minorHAnsi"/>
        </w:rPr>
      </w:pPr>
      <w:r w:rsidRPr="000B5888">
        <w:rPr>
          <w:rFonts w:cstheme="minorHAnsi"/>
        </w:rPr>
        <w:t xml:space="preserve">The full list of genes included in the test must either be documented on the report or documented separately. </w:t>
      </w:r>
    </w:p>
    <w:p w14:paraId="5910C1E9" w14:textId="77777777" w:rsidR="000B5888" w:rsidRPr="000B5888" w:rsidRDefault="000B5888" w:rsidP="000B5888">
      <w:pPr>
        <w:pStyle w:val="ListParagraph"/>
        <w:numPr>
          <w:ilvl w:val="0"/>
          <w:numId w:val="21"/>
        </w:numPr>
        <w:tabs>
          <w:tab w:val="left" w:pos="5325"/>
        </w:tabs>
        <w:rPr>
          <w:rFonts w:cstheme="minorHAnsi"/>
        </w:rPr>
      </w:pPr>
      <w:r w:rsidRPr="000B5888">
        <w:rPr>
          <w:rFonts w:cstheme="minorHAnsi"/>
        </w:rPr>
        <w:t xml:space="preserve">The report must show that the original report date was on or after September 1, 2019 </w:t>
      </w:r>
    </w:p>
    <w:p w14:paraId="72EBF962" w14:textId="77777777" w:rsidR="000B5888" w:rsidRPr="000B5888" w:rsidRDefault="000B5888" w:rsidP="000B5888">
      <w:pPr>
        <w:pStyle w:val="ListParagraph"/>
        <w:numPr>
          <w:ilvl w:val="0"/>
          <w:numId w:val="21"/>
        </w:numPr>
        <w:tabs>
          <w:tab w:val="left" w:pos="5325"/>
        </w:tabs>
        <w:rPr>
          <w:rFonts w:cstheme="minorHAnsi"/>
        </w:rPr>
      </w:pPr>
      <w:r w:rsidRPr="000B5888">
        <w:rPr>
          <w:rFonts w:cstheme="minorHAnsi"/>
        </w:rPr>
        <w:t xml:space="preserve">The report and associated documentation must have been submitted to LUNGMAPNGS@swog.org for review and an e-mail response must have been received documenting that the test is acceptable (see Section 15.4) </w:t>
      </w:r>
    </w:p>
    <w:p w14:paraId="47C3166E" w14:textId="5A8C1509" w:rsidR="000B5888" w:rsidRPr="000B5888" w:rsidRDefault="000B5888" w:rsidP="000B5888">
      <w:pPr>
        <w:pStyle w:val="ListParagraph"/>
        <w:numPr>
          <w:ilvl w:val="0"/>
          <w:numId w:val="21"/>
        </w:numPr>
        <w:tabs>
          <w:tab w:val="left" w:pos="5325"/>
        </w:tabs>
        <w:rPr>
          <w:rFonts w:cstheme="minorHAnsi"/>
        </w:rPr>
      </w:pPr>
      <w:r w:rsidRPr="000B5888">
        <w:rPr>
          <w:rFonts w:cstheme="minorHAnsi"/>
        </w:rPr>
        <w:t xml:space="preserve">The participant must have consented to have these test results disclosed to SWOG Cancer Research Network (see Section 15.4). </w:t>
      </w:r>
    </w:p>
    <w:p w14:paraId="22405394" w14:textId="77777777" w:rsidR="000B5888" w:rsidRPr="000B5888" w:rsidRDefault="000B5888" w:rsidP="000B5888">
      <w:pPr>
        <w:tabs>
          <w:tab w:val="left" w:pos="5325"/>
        </w:tabs>
        <w:rPr>
          <w:rFonts w:cstheme="minorHAnsi"/>
        </w:rPr>
      </w:pPr>
      <w:r w:rsidRPr="000B5888">
        <w:rPr>
          <w:rFonts w:cstheme="minorHAnsi"/>
        </w:rPr>
        <w:t xml:space="preserve">c. For participants with a previously completed NGS test based on blood only, the test must provide documentation of the presence of at least one of the alterations listed on the </w:t>
      </w:r>
      <w:r w:rsidRPr="000B5888">
        <w:rPr>
          <w:rFonts w:cstheme="minorHAnsi"/>
          <w:b/>
          <w:bCs/>
        </w:rPr>
        <w:t xml:space="preserve">LUNGMAP </w:t>
      </w:r>
      <w:r w:rsidRPr="000B5888">
        <w:rPr>
          <w:rFonts w:cstheme="minorHAnsi"/>
        </w:rPr>
        <w:t xml:space="preserve">Genomic Alterations Form. </w:t>
      </w:r>
    </w:p>
    <w:p w14:paraId="5755C1E3" w14:textId="39B94EB6" w:rsidR="005B20EF" w:rsidRDefault="000B5888" w:rsidP="000B5888">
      <w:pPr>
        <w:tabs>
          <w:tab w:val="left" w:pos="5325"/>
        </w:tabs>
        <w:rPr>
          <w:rFonts w:cstheme="minorHAnsi"/>
        </w:rPr>
      </w:pPr>
      <w:r w:rsidRPr="000B5888">
        <w:rPr>
          <w:rFonts w:cstheme="minorHAnsi"/>
        </w:rPr>
        <w:t xml:space="preserve">If the report for blood-based NGS does not document the presence of at least one of these alterations, the participant is not eligible. To be eligible, the participant must either submit documentation of an approved tissue-based NGS test </w:t>
      </w:r>
      <w:r w:rsidRPr="001B39DE">
        <w:rPr>
          <w:rFonts w:cstheme="minorHAnsi"/>
        </w:rPr>
        <w:t>or submit tissue for on-study biomarker testing.</w:t>
      </w:r>
    </w:p>
    <w:p w14:paraId="5F4AF0A9" w14:textId="77777777" w:rsidR="00484233" w:rsidRDefault="00484233" w:rsidP="000B5888">
      <w:pPr>
        <w:tabs>
          <w:tab w:val="left" w:pos="5325"/>
        </w:tabs>
        <w:rPr>
          <w:rFonts w:cstheme="minorHAnsi"/>
        </w:rPr>
      </w:pPr>
    </w:p>
    <w:p w14:paraId="42B0AA19" w14:textId="77777777" w:rsidR="00484233" w:rsidRDefault="00484233" w:rsidP="000B5888">
      <w:pPr>
        <w:tabs>
          <w:tab w:val="left" w:pos="5325"/>
        </w:tabs>
        <w:rPr>
          <w:rFonts w:cstheme="minorHAnsi"/>
        </w:rPr>
      </w:pPr>
    </w:p>
    <w:p w14:paraId="06160BE3" w14:textId="77777777" w:rsidR="00484233" w:rsidRDefault="00484233" w:rsidP="000B5888">
      <w:pPr>
        <w:tabs>
          <w:tab w:val="left" w:pos="5325"/>
        </w:tabs>
        <w:rPr>
          <w:rFonts w:cstheme="minorHAnsi"/>
        </w:rPr>
      </w:pPr>
    </w:p>
    <w:p w14:paraId="2AF801C9" w14:textId="77777777" w:rsidR="00484233" w:rsidRDefault="00484233" w:rsidP="000B5888">
      <w:pPr>
        <w:tabs>
          <w:tab w:val="left" w:pos="5325"/>
        </w:tabs>
        <w:rPr>
          <w:rFonts w:cstheme="minorHAnsi"/>
        </w:rPr>
      </w:pPr>
    </w:p>
    <w:p w14:paraId="6F744611" w14:textId="77777777" w:rsidR="00484233" w:rsidRDefault="00484233" w:rsidP="000B5888">
      <w:pPr>
        <w:tabs>
          <w:tab w:val="left" w:pos="5325"/>
        </w:tabs>
        <w:rPr>
          <w:rFonts w:cstheme="minorHAnsi"/>
        </w:rPr>
      </w:pPr>
    </w:p>
    <w:p w14:paraId="41AF3B73" w14:textId="526974AE" w:rsidR="003C5C73" w:rsidRDefault="00484233" w:rsidP="000B5888">
      <w:pPr>
        <w:tabs>
          <w:tab w:val="left" w:pos="5325"/>
        </w:tabs>
        <w:rPr>
          <w:rFonts w:cstheme="minorHAnsi"/>
        </w:rPr>
      </w:pPr>
      <w:r>
        <w:rPr>
          <w:noProof/>
        </w:rPr>
        <w:lastRenderedPageBreak/>
        <w:drawing>
          <wp:inline distT="0" distB="0" distL="0" distR="0" wp14:anchorId="32AE0C68" wp14:editId="694CFE85">
            <wp:extent cx="5943600" cy="3580529"/>
            <wp:effectExtent l="0" t="0" r="0" b="1270"/>
            <wp:docPr id="1422160885" name="Picture 1" descr="A diagram of a study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60885" name="Picture 1" descr="A diagram of a study process&#10;&#10;Description automatically generated with medium confidence"/>
                    <pic:cNvPicPr/>
                  </pic:nvPicPr>
                  <pic:blipFill>
                    <a:blip r:embed="rId9"/>
                    <a:stretch>
                      <a:fillRect/>
                    </a:stretch>
                  </pic:blipFill>
                  <pic:spPr>
                    <a:xfrm>
                      <a:off x="0" y="0"/>
                      <a:ext cx="5943600" cy="3580529"/>
                    </a:xfrm>
                    <a:prstGeom prst="rect">
                      <a:avLst/>
                    </a:prstGeom>
                  </pic:spPr>
                </pic:pic>
              </a:graphicData>
            </a:graphic>
          </wp:inline>
        </w:drawing>
      </w:r>
    </w:p>
    <w:p w14:paraId="5A231B66" w14:textId="77777777" w:rsidR="00484233" w:rsidRDefault="00484233" w:rsidP="000B5888">
      <w:pPr>
        <w:tabs>
          <w:tab w:val="left" w:pos="5325"/>
        </w:tabs>
        <w:rPr>
          <w:noProof/>
        </w:rPr>
      </w:pPr>
    </w:p>
    <w:p w14:paraId="635167B0" w14:textId="2DF606A3" w:rsidR="003C5C73" w:rsidRPr="000B5888" w:rsidRDefault="00484233" w:rsidP="000B5888">
      <w:pPr>
        <w:tabs>
          <w:tab w:val="left" w:pos="5325"/>
        </w:tabs>
        <w:rPr>
          <w:rFonts w:cstheme="minorHAnsi"/>
          <w:sz w:val="20"/>
          <w:szCs w:val="20"/>
        </w:rPr>
      </w:pPr>
      <w:r>
        <w:rPr>
          <w:noProof/>
        </w:rPr>
        <w:drawing>
          <wp:inline distT="0" distB="0" distL="0" distR="0" wp14:anchorId="2D55B6FC" wp14:editId="4BFFB167">
            <wp:extent cx="6302415" cy="3895916"/>
            <wp:effectExtent l="0" t="0" r="3175" b="9525"/>
            <wp:docPr id="1682589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89718" name=""/>
                    <pic:cNvPicPr/>
                  </pic:nvPicPr>
                  <pic:blipFill>
                    <a:blip r:embed="rId10"/>
                    <a:stretch>
                      <a:fillRect/>
                    </a:stretch>
                  </pic:blipFill>
                  <pic:spPr>
                    <a:xfrm>
                      <a:off x="0" y="0"/>
                      <a:ext cx="6311373" cy="3901453"/>
                    </a:xfrm>
                    <a:prstGeom prst="rect">
                      <a:avLst/>
                    </a:prstGeom>
                  </pic:spPr>
                </pic:pic>
              </a:graphicData>
            </a:graphic>
          </wp:inline>
        </w:drawing>
      </w:r>
    </w:p>
    <w:sectPr w:rsidR="003C5C73" w:rsidRPr="000B588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392C9" w14:textId="77777777" w:rsidR="000B50D1" w:rsidRDefault="000B50D1" w:rsidP="000B50D1">
      <w:pPr>
        <w:spacing w:after="0" w:line="240" w:lineRule="auto"/>
      </w:pPr>
      <w:r>
        <w:separator/>
      </w:r>
    </w:p>
    <w:p w14:paraId="57DF11C0" w14:textId="77777777" w:rsidR="002A7CC1" w:rsidRDefault="002A7CC1"/>
  </w:endnote>
  <w:endnote w:type="continuationSeparator" w:id="0">
    <w:p w14:paraId="5BD069BA" w14:textId="77777777" w:rsidR="000B50D1" w:rsidRDefault="000B50D1" w:rsidP="000B50D1">
      <w:pPr>
        <w:spacing w:after="0" w:line="240" w:lineRule="auto"/>
      </w:pPr>
      <w:r>
        <w:continuationSeparator/>
      </w:r>
    </w:p>
    <w:p w14:paraId="5115BCC1" w14:textId="77777777" w:rsidR="002A7CC1" w:rsidRDefault="002A7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2EA0" w14:textId="3934B0A9" w:rsidR="000B50D1" w:rsidRPr="001B39DE" w:rsidRDefault="000B50D1">
    <w:pPr>
      <w:pStyle w:val="Footer"/>
      <w:rPr>
        <w:rFonts w:ascii="Times New Roman" w:hAnsi="Times New Roman" w:cs="Times New Roman"/>
        <w:sz w:val="18"/>
        <w:szCs w:val="18"/>
      </w:rPr>
    </w:pPr>
    <w:r w:rsidRPr="001B39DE">
      <w:rPr>
        <w:rFonts w:ascii="Times New Roman" w:hAnsi="Times New Roman" w:cs="Times New Roman"/>
        <w:sz w:val="18"/>
        <w:szCs w:val="18"/>
      </w:rPr>
      <w:t>[pv_</w:t>
    </w:r>
    <w:r w:rsidR="001B39DE" w:rsidRPr="001B39DE">
      <w:rPr>
        <w:rFonts w:ascii="Times New Roman" w:hAnsi="Times New Roman" w:cs="Times New Roman"/>
        <w:sz w:val="18"/>
        <w:szCs w:val="18"/>
      </w:rPr>
      <w:t>8-</w:t>
    </w:r>
    <w:r w:rsidR="00425586">
      <w:rPr>
        <w:rFonts w:ascii="Times New Roman" w:hAnsi="Times New Roman" w:cs="Times New Roman"/>
        <w:sz w:val="18"/>
        <w:szCs w:val="18"/>
      </w:rPr>
      <w:t>7</w:t>
    </w:r>
    <w:r w:rsidR="001B39DE" w:rsidRPr="001B39DE">
      <w:rPr>
        <w:rFonts w:ascii="Times New Roman" w:hAnsi="Times New Roman" w:cs="Times New Roman"/>
        <w:sz w:val="18"/>
        <w:szCs w:val="18"/>
      </w:rPr>
      <w:t>-24</w:t>
    </w:r>
    <w:r w:rsidRPr="001B39DE">
      <w:rPr>
        <w:rFonts w:ascii="Times New Roman" w:hAnsi="Times New Roman" w:cs="Times New Roman"/>
        <w:sz w:val="18"/>
        <w:szCs w:val="18"/>
      </w:rPr>
      <w:t>]</w:t>
    </w:r>
    <w:r w:rsidRPr="001B39DE">
      <w:rPr>
        <w:rFonts w:ascii="Times New Roman" w:hAnsi="Times New Roman" w:cs="Times New Roman"/>
        <w:sz w:val="18"/>
        <w:szCs w:val="18"/>
      </w:rPr>
      <w:tab/>
      <w:t xml:space="preserve">Version </w:t>
    </w:r>
    <w:r w:rsidR="001B39DE" w:rsidRPr="001B39DE">
      <w:rPr>
        <w:rFonts w:ascii="Times New Roman" w:hAnsi="Times New Roman" w:cs="Times New Roman"/>
        <w:sz w:val="18"/>
        <w:szCs w:val="18"/>
      </w:rPr>
      <w:t>9</w:t>
    </w:r>
    <w:r w:rsidRPr="001B39DE">
      <w:rPr>
        <w:rFonts w:ascii="Times New Roman" w:hAnsi="Times New Roman" w:cs="Times New Roman"/>
        <w:sz w:val="18"/>
        <w:szCs w:val="18"/>
      </w:rPr>
      <w:tab/>
    </w:r>
    <w:r w:rsidR="00A421BA" w:rsidRPr="001B39DE">
      <w:rPr>
        <w:rFonts w:ascii="Times New Roman" w:hAnsi="Times New Roman" w:cs="Times New Roman"/>
        <w:sz w:val="18"/>
        <w:szCs w:val="18"/>
      </w:rPr>
      <w:t>LUNG MAP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07F94" w14:textId="77777777" w:rsidR="000B50D1" w:rsidRDefault="000B50D1" w:rsidP="000B50D1">
      <w:pPr>
        <w:spacing w:after="0" w:line="240" w:lineRule="auto"/>
      </w:pPr>
      <w:r>
        <w:separator/>
      </w:r>
    </w:p>
    <w:p w14:paraId="1239C009" w14:textId="77777777" w:rsidR="002A7CC1" w:rsidRDefault="002A7CC1"/>
  </w:footnote>
  <w:footnote w:type="continuationSeparator" w:id="0">
    <w:p w14:paraId="02611D4D" w14:textId="77777777" w:rsidR="000B50D1" w:rsidRDefault="000B50D1" w:rsidP="000B50D1">
      <w:pPr>
        <w:spacing w:after="0" w:line="240" w:lineRule="auto"/>
      </w:pPr>
      <w:r>
        <w:continuationSeparator/>
      </w:r>
    </w:p>
    <w:p w14:paraId="445183A8" w14:textId="77777777" w:rsidR="002A7CC1" w:rsidRDefault="002A7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48756"/>
      <w:docPartObj>
        <w:docPartGallery w:val="Page Numbers (Top of Page)"/>
        <w:docPartUnique/>
      </w:docPartObj>
    </w:sdtPr>
    <w:sdtEndPr>
      <w:rPr>
        <w:rFonts w:ascii="Times New Roman" w:hAnsi="Times New Roman" w:cs="Times New Roman"/>
        <w:sz w:val="20"/>
        <w:szCs w:val="20"/>
      </w:rPr>
    </w:sdtEndPr>
    <w:sdtContent>
      <w:p w14:paraId="526AD273" w14:textId="77777777" w:rsidR="000B50D1" w:rsidRPr="000B50D1" w:rsidRDefault="000B50D1">
        <w:pPr>
          <w:pStyle w:val="Header"/>
          <w:jc w:val="right"/>
          <w:rPr>
            <w:rFonts w:ascii="Times New Roman" w:hAnsi="Times New Roman" w:cs="Times New Roman"/>
            <w:sz w:val="20"/>
            <w:szCs w:val="20"/>
          </w:rPr>
        </w:pPr>
        <w:r w:rsidRPr="000B50D1">
          <w:rPr>
            <w:rFonts w:ascii="Times New Roman" w:hAnsi="Times New Roman" w:cs="Times New Roman"/>
            <w:sz w:val="20"/>
            <w:szCs w:val="20"/>
          </w:rPr>
          <w:t xml:space="preserve">Page </w:t>
        </w:r>
        <w:r w:rsidRPr="000B50D1">
          <w:rPr>
            <w:rFonts w:ascii="Times New Roman" w:hAnsi="Times New Roman" w:cs="Times New Roman"/>
            <w:b/>
            <w:bCs/>
            <w:sz w:val="20"/>
            <w:szCs w:val="20"/>
          </w:rPr>
          <w:fldChar w:fldCharType="begin"/>
        </w:r>
        <w:r w:rsidRPr="000B50D1">
          <w:rPr>
            <w:rFonts w:ascii="Times New Roman" w:hAnsi="Times New Roman" w:cs="Times New Roman"/>
            <w:b/>
            <w:bCs/>
            <w:sz w:val="20"/>
            <w:szCs w:val="20"/>
          </w:rPr>
          <w:instrText xml:space="preserve"> PAGE </w:instrText>
        </w:r>
        <w:r w:rsidRPr="000B50D1">
          <w:rPr>
            <w:rFonts w:ascii="Times New Roman" w:hAnsi="Times New Roman" w:cs="Times New Roman"/>
            <w:b/>
            <w:bCs/>
            <w:sz w:val="20"/>
            <w:szCs w:val="20"/>
          </w:rPr>
          <w:fldChar w:fldCharType="separate"/>
        </w:r>
        <w:r w:rsidR="002D4A3E">
          <w:rPr>
            <w:rFonts w:ascii="Times New Roman" w:hAnsi="Times New Roman" w:cs="Times New Roman"/>
            <w:b/>
            <w:bCs/>
            <w:noProof/>
            <w:sz w:val="20"/>
            <w:szCs w:val="20"/>
          </w:rPr>
          <w:t>1</w:t>
        </w:r>
        <w:r w:rsidRPr="000B50D1">
          <w:rPr>
            <w:rFonts w:ascii="Times New Roman" w:hAnsi="Times New Roman" w:cs="Times New Roman"/>
            <w:b/>
            <w:bCs/>
            <w:sz w:val="20"/>
            <w:szCs w:val="20"/>
          </w:rPr>
          <w:fldChar w:fldCharType="end"/>
        </w:r>
        <w:r w:rsidRPr="000B50D1">
          <w:rPr>
            <w:rFonts w:ascii="Times New Roman" w:hAnsi="Times New Roman" w:cs="Times New Roman"/>
            <w:sz w:val="20"/>
            <w:szCs w:val="20"/>
          </w:rPr>
          <w:t xml:space="preserve"> of </w:t>
        </w:r>
        <w:r w:rsidRPr="000B50D1">
          <w:rPr>
            <w:rFonts w:ascii="Times New Roman" w:hAnsi="Times New Roman" w:cs="Times New Roman"/>
            <w:b/>
            <w:bCs/>
            <w:sz w:val="20"/>
            <w:szCs w:val="20"/>
          </w:rPr>
          <w:fldChar w:fldCharType="begin"/>
        </w:r>
        <w:r w:rsidRPr="000B50D1">
          <w:rPr>
            <w:rFonts w:ascii="Times New Roman" w:hAnsi="Times New Roman" w:cs="Times New Roman"/>
            <w:b/>
            <w:bCs/>
            <w:sz w:val="20"/>
            <w:szCs w:val="20"/>
          </w:rPr>
          <w:instrText xml:space="preserve"> NUMPAGES  </w:instrText>
        </w:r>
        <w:r w:rsidRPr="000B50D1">
          <w:rPr>
            <w:rFonts w:ascii="Times New Roman" w:hAnsi="Times New Roman" w:cs="Times New Roman"/>
            <w:b/>
            <w:bCs/>
            <w:sz w:val="20"/>
            <w:szCs w:val="20"/>
          </w:rPr>
          <w:fldChar w:fldCharType="separate"/>
        </w:r>
        <w:r w:rsidR="002D4A3E">
          <w:rPr>
            <w:rFonts w:ascii="Times New Roman" w:hAnsi="Times New Roman" w:cs="Times New Roman"/>
            <w:b/>
            <w:bCs/>
            <w:noProof/>
            <w:sz w:val="20"/>
            <w:szCs w:val="20"/>
          </w:rPr>
          <w:t>3</w:t>
        </w:r>
        <w:r w:rsidRPr="000B50D1">
          <w:rPr>
            <w:rFonts w:ascii="Times New Roman" w:hAnsi="Times New Roman" w:cs="Times New Roman"/>
            <w:b/>
            <w:bCs/>
            <w:sz w:val="20"/>
            <w:szCs w:val="20"/>
          </w:rPr>
          <w:fldChar w:fldCharType="end"/>
        </w:r>
      </w:p>
    </w:sdtContent>
  </w:sdt>
  <w:p w14:paraId="67186A1B" w14:textId="77777777" w:rsidR="000B50D1" w:rsidRDefault="000B50D1">
    <w:pPr>
      <w:pStyle w:val="Header"/>
    </w:pPr>
  </w:p>
  <w:p w14:paraId="2099ADA6" w14:textId="77777777" w:rsidR="002A7CC1" w:rsidRDefault="002A7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8D4303"/>
    <w:multiLevelType w:val="hybridMultilevel"/>
    <w:tmpl w:val="521099F6"/>
    <w:lvl w:ilvl="0" w:tplc="FFFFFFFF">
      <w:start w:val="1"/>
      <w:numFmt w:val="bullet"/>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A965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5085C"/>
    <w:multiLevelType w:val="hybridMultilevel"/>
    <w:tmpl w:val="B0DA0EBA"/>
    <w:lvl w:ilvl="0" w:tplc="0409000F">
      <w:start w:val="1"/>
      <w:numFmt w:val="decimal"/>
      <w:lvlText w:val="%1."/>
      <w:lvlJc w:val="left"/>
      <w:pPr>
        <w:ind w:left="1080" w:hanging="360"/>
      </w:pPr>
      <w:rPr>
        <w:rFonts w:hint="default"/>
        <w:b w:val="0"/>
        <w:sz w:val="20"/>
      </w:rPr>
    </w:lvl>
    <w:lvl w:ilvl="1" w:tplc="FFFFFFFF">
      <w:numFmt w:val="bullet"/>
      <w:lvlText w:val="•"/>
      <w:lvlJc w:val="left"/>
      <w:pPr>
        <w:ind w:left="1800" w:hanging="360"/>
      </w:pPr>
      <w:rPr>
        <w:rFonts w:ascii="Times New Roman" w:eastAsiaTheme="minorHAnsi" w:hAnsi="Times New Roman"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9D14337"/>
    <w:multiLevelType w:val="multilevel"/>
    <w:tmpl w:val="99643AF4"/>
    <w:lvl w:ilvl="0">
      <w:start w:val="5"/>
      <w:numFmt w:val="decimal"/>
      <w:lvlText w:val="%1"/>
      <w:lvlJc w:val="left"/>
      <w:pPr>
        <w:ind w:left="1640" w:hanging="721"/>
      </w:pPr>
      <w:rPr>
        <w:rFonts w:hint="default"/>
        <w:lang w:val="en-US" w:eastAsia="en-US" w:bidi="ar-SA"/>
      </w:rPr>
    </w:lvl>
    <w:lvl w:ilvl="1">
      <w:numFmt w:val="decimal"/>
      <w:lvlText w:val="%1.%2"/>
      <w:lvlJc w:val="left"/>
      <w:pPr>
        <w:ind w:left="1640" w:hanging="721"/>
        <w:jc w:val="right"/>
      </w:pPr>
      <w:rPr>
        <w:rFonts w:hint="default"/>
        <w:spacing w:val="-1"/>
        <w:w w:val="100"/>
        <w:lang w:val="en-US" w:eastAsia="en-US" w:bidi="ar-SA"/>
      </w:rPr>
    </w:lvl>
    <w:lvl w:ilvl="2">
      <w:start w:val="1"/>
      <w:numFmt w:val="lowerLetter"/>
      <w:lvlText w:val="%3."/>
      <w:lvlJc w:val="left"/>
      <w:pPr>
        <w:ind w:left="3079" w:hanging="720"/>
      </w:pPr>
      <w:rPr>
        <w:rFonts w:ascii="Arial" w:eastAsia="Arial" w:hAnsi="Arial" w:cs="Arial" w:hint="default"/>
        <w:b w:val="0"/>
        <w:bCs w:val="0"/>
        <w:i w:val="0"/>
        <w:iCs w:val="0"/>
        <w:w w:val="100"/>
        <w:sz w:val="20"/>
        <w:szCs w:val="20"/>
        <w:lang w:val="en-US" w:eastAsia="en-US" w:bidi="ar-SA"/>
      </w:rPr>
    </w:lvl>
    <w:lvl w:ilvl="3">
      <w:start w:val="1"/>
      <w:numFmt w:val="decimal"/>
      <w:lvlText w:val="%4."/>
      <w:lvlJc w:val="left"/>
      <w:pPr>
        <w:ind w:left="3799" w:hanging="720"/>
      </w:pPr>
      <w:rPr>
        <w:rFonts w:ascii="Arial" w:eastAsia="Arial" w:hAnsi="Arial" w:cs="Arial" w:hint="default"/>
        <w:b w:val="0"/>
        <w:bCs w:val="0"/>
        <w:i w:val="0"/>
        <w:iCs w:val="0"/>
        <w:w w:val="100"/>
        <w:sz w:val="20"/>
        <w:szCs w:val="20"/>
        <w:lang w:val="en-US" w:eastAsia="en-US" w:bidi="ar-SA"/>
      </w:rPr>
    </w:lvl>
    <w:lvl w:ilvl="4">
      <w:numFmt w:val="bullet"/>
      <w:lvlText w:val=""/>
      <w:lvlJc w:val="left"/>
      <w:pPr>
        <w:ind w:left="4160" w:hanging="360"/>
      </w:pPr>
      <w:rPr>
        <w:rFonts w:ascii="Symbol" w:eastAsia="Symbol" w:hAnsi="Symbol" w:cs="Symbol" w:hint="default"/>
        <w:w w:val="100"/>
        <w:lang w:val="en-US" w:eastAsia="en-US" w:bidi="ar-SA"/>
      </w:rPr>
    </w:lvl>
    <w:lvl w:ilvl="5">
      <w:numFmt w:val="bullet"/>
      <w:lvlText w:val="•"/>
      <w:lvlJc w:val="left"/>
      <w:pPr>
        <w:ind w:left="5862" w:hanging="360"/>
      </w:pPr>
      <w:rPr>
        <w:rFonts w:hint="default"/>
        <w:lang w:val="en-US" w:eastAsia="en-US" w:bidi="ar-SA"/>
      </w:rPr>
    </w:lvl>
    <w:lvl w:ilvl="6">
      <w:numFmt w:val="bullet"/>
      <w:lvlText w:val="•"/>
      <w:lvlJc w:val="left"/>
      <w:pPr>
        <w:ind w:left="6714" w:hanging="360"/>
      </w:pPr>
      <w:rPr>
        <w:rFonts w:hint="default"/>
        <w:lang w:val="en-US" w:eastAsia="en-US" w:bidi="ar-SA"/>
      </w:rPr>
    </w:lvl>
    <w:lvl w:ilvl="7">
      <w:numFmt w:val="bullet"/>
      <w:lvlText w:val="•"/>
      <w:lvlJc w:val="left"/>
      <w:pPr>
        <w:ind w:left="7565" w:hanging="360"/>
      </w:pPr>
      <w:rPr>
        <w:rFonts w:hint="default"/>
        <w:lang w:val="en-US" w:eastAsia="en-US" w:bidi="ar-SA"/>
      </w:rPr>
    </w:lvl>
    <w:lvl w:ilvl="8">
      <w:numFmt w:val="bullet"/>
      <w:lvlText w:val="•"/>
      <w:lvlJc w:val="left"/>
      <w:pPr>
        <w:ind w:left="8417" w:hanging="360"/>
      </w:pPr>
      <w:rPr>
        <w:rFonts w:hint="default"/>
        <w:lang w:val="en-US" w:eastAsia="en-US" w:bidi="ar-SA"/>
      </w:rPr>
    </w:lvl>
  </w:abstractNum>
  <w:abstractNum w:abstractNumId="4" w15:restartNumberingAfterBreak="0">
    <w:nsid w:val="16FA1731"/>
    <w:multiLevelType w:val="hybridMultilevel"/>
    <w:tmpl w:val="3098BA22"/>
    <w:lvl w:ilvl="0" w:tplc="FFFFFFFF">
      <w:start w:val="1"/>
      <w:numFmt w:val="bullet"/>
      <w:lvlText w:val="•"/>
      <w:lvlJc w:val="left"/>
    </w:lvl>
    <w:lvl w:ilvl="1" w:tplc="FFFFFFFF">
      <w:start w:val="1"/>
      <w:numFmt w:val="bullet"/>
      <w:lvlText w:val=""/>
      <w:lvlJc w:val="left"/>
      <w:pPr>
        <w:ind w:left="720" w:hanging="360"/>
      </w:pPr>
      <w:rPr>
        <w:rFonts w:ascii="Symbol" w:hAnsi="Symbol" w:hint="default"/>
      </w:rPr>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DFEF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EF5401"/>
    <w:multiLevelType w:val="multilevel"/>
    <w:tmpl w:val="E42AD4EC"/>
    <w:lvl w:ilvl="0">
      <w:start w:val="5"/>
      <w:numFmt w:val="decimal"/>
      <w:lvlText w:val="%1"/>
      <w:lvlJc w:val="left"/>
      <w:pPr>
        <w:ind w:left="1120" w:hanging="721"/>
      </w:pPr>
      <w:rPr>
        <w:rFonts w:hint="default"/>
        <w:lang w:val="en-US" w:eastAsia="en-US" w:bidi="ar-SA"/>
      </w:rPr>
    </w:lvl>
    <w:lvl w:ilvl="1">
      <w:numFmt w:val="decimal"/>
      <w:lvlText w:val="%1.%2"/>
      <w:lvlJc w:val="left"/>
      <w:pPr>
        <w:ind w:left="1120" w:hanging="721"/>
        <w:jc w:val="right"/>
      </w:pPr>
      <w:rPr>
        <w:rFonts w:hint="default"/>
        <w:spacing w:val="-1"/>
        <w:w w:val="100"/>
        <w:lang w:val="en-US" w:eastAsia="en-US" w:bidi="ar-SA"/>
      </w:rPr>
    </w:lvl>
    <w:lvl w:ilvl="2">
      <w:start w:val="1"/>
      <w:numFmt w:val="lowerLetter"/>
      <w:lvlText w:val="%3."/>
      <w:lvlJc w:val="left"/>
      <w:pPr>
        <w:ind w:left="2559" w:hanging="720"/>
      </w:pPr>
      <w:rPr>
        <w:rFonts w:ascii="Arial" w:eastAsia="Arial" w:hAnsi="Arial" w:cs="Arial" w:hint="default"/>
        <w:b w:val="0"/>
        <w:bCs w:val="0"/>
        <w:i w:val="0"/>
        <w:iCs w:val="0"/>
        <w:w w:val="100"/>
        <w:sz w:val="20"/>
        <w:szCs w:val="20"/>
        <w:lang w:val="en-US" w:eastAsia="en-US" w:bidi="ar-SA"/>
      </w:rPr>
    </w:lvl>
    <w:lvl w:ilvl="3">
      <w:start w:val="1"/>
      <w:numFmt w:val="decimal"/>
      <w:lvlText w:val="%4."/>
      <w:lvlJc w:val="left"/>
      <w:pPr>
        <w:ind w:left="3279" w:hanging="720"/>
      </w:pPr>
      <w:rPr>
        <w:rFonts w:ascii="Arial" w:eastAsia="Arial" w:hAnsi="Arial" w:cs="Arial" w:hint="default"/>
        <w:b w:val="0"/>
        <w:bCs w:val="0"/>
        <w:i w:val="0"/>
        <w:iCs w:val="0"/>
        <w:w w:val="100"/>
        <w:sz w:val="20"/>
        <w:szCs w:val="20"/>
        <w:lang w:val="en-US" w:eastAsia="en-US" w:bidi="ar-SA"/>
      </w:rPr>
    </w:lvl>
    <w:lvl w:ilvl="4">
      <w:numFmt w:val="bullet"/>
      <w:lvlText w:val=""/>
      <w:lvlJc w:val="left"/>
      <w:pPr>
        <w:ind w:left="4000" w:hanging="360"/>
      </w:pPr>
      <w:rPr>
        <w:rFonts w:ascii="Symbol" w:eastAsia="Symbol" w:hAnsi="Symbol" w:cs="Symbol" w:hint="default"/>
        <w:w w:val="100"/>
        <w:lang w:val="en-US" w:eastAsia="en-US" w:bidi="ar-SA"/>
      </w:rPr>
    </w:lvl>
    <w:lvl w:ilvl="5">
      <w:numFmt w:val="bullet"/>
      <w:lvlText w:val="o"/>
      <w:lvlJc w:val="left"/>
      <w:pPr>
        <w:ind w:left="4719" w:hanging="360"/>
      </w:pPr>
      <w:rPr>
        <w:rFonts w:ascii="Courier New" w:eastAsia="Courier New" w:hAnsi="Courier New" w:cs="Courier New" w:hint="default"/>
        <w:b w:val="0"/>
        <w:bCs w:val="0"/>
        <w:i w:val="0"/>
        <w:iCs w:val="0"/>
        <w:w w:val="100"/>
        <w:sz w:val="24"/>
        <w:szCs w:val="24"/>
        <w:lang w:val="en-US" w:eastAsia="en-US" w:bidi="ar-SA"/>
      </w:rPr>
    </w:lvl>
    <w:lvl w:ilvl="6">
      <w:numFmt w:val="bullet"/>
      <w:lvlText w:val="•"/>
      <w:lvlJc w:val="left"/>
      <w:pPr>
        <w:ind w:left="5796" w:hanging="360"/>
      </w:pPr>
      <w:rPr>
        <w:rFonts w:hint="default"/>
        <w:lang w:val="en-US" w:eastAsia="en-US" w:bidi="ar-SA"/>
      </w:rPr>
    </w:lvl>
    <w:lvl w:ilvl="7">
      <w:numFmt w:val="bullet"/>
      <w:lvlText w:val="•"/>
      <w:lvlJc w:val="left"/>
      <w:pPr>
        <w:ind w:left="6872" w:hanging="360"/>
      </w:pPr>
      <w:rPr>
        <w:rFonts w:hint="default"/>
        <w:lang w:val="en-US" w:eastAsia="en-US" w:bidi="ar-SA"/>
      </w:rPr>
    </w:lvl>
    <w:lvl w:ilvl="8">
      <w:numFmt w:val="bullet"/>
      <w:lvlText w:val="•"/>
      <w:lvlJc w:val="left"/>
      <w:pPr>
        <w:ind w:left="7948" w:hanging="360"/>
      </w:pPr>
      <w:rPr>
        <w:rFonts w:hint="default"/>
        <w:lang w:val="en-US" w:eastAsia="en-US" w:bidi="ar-SA"/>
      </w:rPr>
    </w:lvl>
  </w:abstractNum>
  <w:abstractNum w:abstractNumId="7" w15:restartNumberingAfterBreak="0">
    <w:nsid w:val="2DD416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0F3D6C"/>
    <w:multiLevelType w:val="hybridMultilevel"/>
    <w:tmpl w:val="F64434EC"/>
    <w:lvl w:ilvl="0" w:tplc="BCB628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56846"/>
    <w:multiLevelType w:val="hybridMultilevel"/>
    <w:tmpl w:val="423A229E"/>
    <w:lvl w:ilvl="0" w:tplc="4C9ED4A6">
      <w:numFmt w:val="bullet"/>
      <w:lvlText w:val=""/>
      <w:lvlJc w:val="left"/>
      <w:pPr>
        <w:ind w:left="3799" w:hanging="721"/>
      </w:pPr>
      <w:rPr>
        <w:rFonts w:ascii="Symbol" w:eastAsia="Symbol" w:hAnsi="Symbol" w:cs="Symbol" w:hint="default"/>
        <w:b w:val="0"/>
        <w:bCs w:val="0"/>
        <w:i w:val="0"/>
        <w:iCs w:val="0"/>
        <w:w w:val="100"/>
        <w:sz w:val="20"/>
        <w:szCs w:val="20"/>
        <w:lang w:val="en-US" w:eastAsia="en-US" w:bidi="ar-SA"/>
      </w:rPr>
    </w:lvl>
    <w:lvl w:ilvl="1" w:tplc="68C481E8">
      <w:numFmt w:val="bullet"/>
      <w:lvlText w:val="•"/>
      <w:lvlJc w:val="left"/>
      <w:pPr>
        <w:ind w:left="4432" w:hanging="721"/>
      </w:pPr>
      <w:rPr>
        <w:rFonts w:hint="default"/>
        <w:lang w:val="en-US" w:eastAsia="en-US" w:bidi="ar-SA"/>
      </w:rPr>
    </w:lvl>
    <w:lvl w:ilvl="2" w:tplc="1ED664E0">
      <w:numFmt w:val="bullet"/>
      <w:lvlText w:val="•"/>
      <w:lvlJc w:val="left"/>
      <w:pPr>
        <w:ind w:left="5064" w:hanging="721"/>
      </w:pPr>
      <w:rPr>
        <w:rFonts w:hint="default"/>
        <w:lang w:val="en-US" w:eastAsia="en-US" w:bidi="ar-SA"/>
      </w:rPr>
    </w:lvl>
    <w:lvl w:ilvl="3" w:tplc="6BC6F28C">
      <w:numFmt w:val="bullet"/>
      <w:lvlText w:val="•"/>
      <w:lvlJc w:val="left"/>
      <w:pPr>
        <w:ind w:left="5696" w:hanging="721"/>
      </w:pPr>
      <w:rPr>
        <w:rFonts w:hint="default"/>
        <w:lang w:val="en-US" w:eastAsia="en-US" w:bidi="ar-SA"/>
      </w:rPr>
    </w:lvl>
    <w:lvl w:ilvl="4" w:tplc="6EE49966">
      <w:numFmt w:val="bullet"/>
      <w:lvlText w:val="•"/>
      <w:lvlJc w:val="left"/>
      <w:pPr>
        <w:ind w:left="6328" w:hanging="721"/>
      </w:pPr>
      <w:rPr>
        <w:rFonts w:hint="default"/>
        <w:lang w:val="en-US" w:eastAsia="en-US" w:bidi="ar-SA"/>
      </w:rPr>
    </w:lvl>
    <w:lvl w:ilvl="5" w:tplc="57503480">
      <w:numFmt w:val="bullet"/>
      <w:lvlText w:val="•"/>
      <w:lvlJc w:val="left"/>
      <w:pPr>
        <w:ind w:left="6960" w:hanging="721"/>
      </w:pPr>
      <w:rPr>
        <w:rFonts w:hint="default"/>
        <w:lang w:val="en-US" w:eastAsia="en-US" w:bidi="ar-SA"/>
      </w:rPr>
    </w:lvl>
    <w:lvl w:ilvl="6" w:tplc="5E14AD38">
      <w:numFmt w:val="bullet"/>
      <w:lvlText w:val="•"/>
      <w:lvlJc w:val="left"/>
      <w:pPr>
        <w:ind w:left="7592" w:hanging="721"/>
      </w:pPr>
      <w:rPr>
        <w:rFonts w:hint="default"/>
        <w:lang w:val="en-US" w:eastAsia="en-US" w:bidi="ar-SA"/>
      </w:rPr>
    </w:lvl>
    <w:lvl w:ilvl="7" w:tplc="DDB882A6">
      <w:numFmt w:val="bullet"/>
      <w:lvlText w:val="•"/>
      <w:lvlJc w:val="left"/>
      <w:pPr>
        <w:ind w:left="8224" w:hanging="721"/>
      </w:pPr>
      <w:rPr>
        <w:rFonts w:hint="default"/>
        <w:lang w:val="en-US" w:eastAsia="en-US" w:bidi="ar-SA"/>
      </w:rPr>
    </w:lvl>
    <w:lvl w:ilvl="8" w:tplc="C292E47C">
      <w:numFmt w:val="bullet"/>
      <w:lvlText w:val="•"/>
      <w:lvlJc w:val="left"/>
      <w:pPr>
        <w:ind w:left="8856" w:hanging="721"/>
      </w:pPr>
      <w:rPr>
        <w:rFonts w:hint="default"/>
        <w:lang w:val="en-US" w:eastAsia="en-US" w:bidi="ar-SA"/>
      </w:rPr>
    </w:lvl>
  </w:abstractNum>
  <w:abstractNum w:abstractNumId="10" w15:restartNumberingAfterBreak="0">
    <w:nsid w:val="36B276FD"/>
    <w:multiLevelType w:val="hybridMultilevel"/>
    <w:tmpl w:val="53E8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C40DE"/>
    <w:multiLevelType w:val="multilevel"/>
    <w:tmpl w:val="A696417E"/>
    <w:lvl w:ilvl="0">
      <w:start w:val="5"/>
      <w:numFmt w:val="decimal"/>
      <w:lvlText w:val="%1"/>
      <w:lvlJc w:val="left"/>
      <w:pPr>
        <w:ind w:left="1120" w:hanging="721"/>
      </w:pPr>
      <w:rPr>
        <w:rFonts w:hint="default"/>
        <w:lang w:val="en-US" w:eastAsia="en-US" w:bidi="ar-SA"/>
      </w:rPr>
    </w:lvl>
    <w:lvl w:ilvl="1">
      <w:numFmt w:val="decimal"/>
      <w:lvlText w:val="%1.%2"/>
      <w:lvlJc w:val="left"/>
      <w:pPr>
        <w:ind w:left="1120" w:hanging="721"/>
        <w:jc w:val="right"/>
      </w:pPr>
      <w:rPr>
        <w:rFonts w:hint="default"/>
        <w:spacing w:val="-1"/>
        <w:w w:val="100"/>
        <w:lang w:val="en-US" w:eastAsia="en-US" w:bidi="ar-SA"/>
      </w:rPr>
    </w:lvl>
    <w:lvl w:ilvl="2">
      <w:start w:val="1"/>
      <w:numFmt w:val="lowerLetter"/>
      <w:lvlText w:val="%3."/>
      <w:lvlJc w:val="left"/>
      <w:pPr>
        <w:ind w:left="2559" w:hanging="720"/>
      </w:pPr>
      <w:rPr>
        <w:rFonts w:ascii="Arial" w:eastAsia="Arial" w:hAnsi="Arial" w:cs="Arial" w:hint="default"/>
        <w:b w:val="0"/>
        <w:bCs w:val="0"/>
        <w:i w:val="0"/>
        <w:iCs w:val="0"/>
        <w:w w:val="100"/>
        <w:sz w:val="20"/>
        <w:szCs w:val="20"/>
        <w:lang w:val="en-US" w:eastAsia="en-US" w:bidi="ar-SA"/>
      </w:rPr>
    </w:lvl>
    <w:lvl w:ilvl="3">
      <w:start w:val="1"/>
      <w:numFmt w:val="decimal"/>
      <w:lvlText w:val="%4."/>
      <w:lvlJc w:val="left"/>
      <w:pPr>
        <w:ind w:left="3279" w:hanging="720"/>
      </w:pPr>
      <w:rPr>
        <w:rFonts w:ascii="Arial" w:eastAsia="Arial" w:hAnsi="Arial" w:cs="Arial" w:hint="default"/>
        <w:b w:val="0"/>
        <w:bCs w:val="0"/>
        <w:i w:val="0"/>
        <w:iCs w:val="0"/>
        <w:w w:val="100"/>
        <w:sz w:val="20"/>
        <w:szCs w:val="20"/>
        <w:lang w:val="en-US" w:eastAsia="en-US" w:bidi="ar-SA"/>
      </w:rPr>
    </w:lvl>
    <w:lvl w:ilvl="4">
      <w:numFmt w:val="bullet"/>
      <w:lvlText w:val=""/>
      <w:lvlJc w:val="left"/>
      <w:pPr>
        <w:ind w:left="4000" w:hanging="360"/>
      </w:pPr>
      <w:rPr>
        <w:rFonts w:ascii="Symbol" w:eastAsia="Symbol" w:hAnsi="Symbol" w:cs="Symbol" w:hint="default"/>
        <w:w w:val="100"/>
        <w:lang w:val="en-US" w:eastAsia="en-US" w:bidi="ar-SA"/>
      </w:rPr>
    </w:lvl>
    <w:lvl w:ilvl="5">
      <w:numFmt w:val="bullet"/>
      <w:lvlText w:val="•"/>
      <w:lvlJc w:val="left"/>
      <w:pPr>
        <w:ind w:left="4720" w:hanging="360"/>
      </w:pPr>
      <w:rPr>
        <w:rFonts w:hint="default"/>
        <w:lang w:val="en-US" w:eastAsia="en-US" w:bidi="ar-SA"/>
      </w:rPr>
    </w:lvl>
    <w:lvl w:ilvl="6">
      <w:numFmt w:val="bullet"/>
      <w:lvlText w:val="•"/>
      <w:lvlJc w:val="left"/>
      <w:pPr>
        <w:ind w:left="5796" w:hanging="360"/>
      </w:pPr>
      <w:rPr>
        <w:rFonts w:hint="default"/>
        <w:lang w:val="en-US" w:eastAsia="en-US" w:bidi="ar-SA"/>
      </w:rPr>
    </w:lvl>
    <w:lvl w:ilvl="7">
      <w:numFmt w:val="bullet"/>
      <w:lvlText w:val="•"/>
      <w:lvlJc w:val="left"/>
      <w:pPr>
        <w:ind w:left="6872" w:hanging="360"/>
      </w:pPr>
      <w:rPr>
        <w:rFonts w:hint="default"/>
        <w:lang w:val="en-US" w:eastAsia="en-US" w:bidi="ar-SA"/>
      </w:rPr>
    </w:lvl>
    <w:lvl w:ilvl="8">
      <w:numFmt w:val="bullet"/>
      <w:lvlText w:val="•"/>
      <w:lvlJc w:val="left"/>
      <w:pPr>
        <w:ind w:left="7948" w:hanging="360"/>
      </w:pPr>
      <w:rPr>
        <w:rFonts w:hint="default"/>
        <w:lang w:val="en-US" w:eastAsia="en-US" w:bidi="ar-SA"/>
      </w:rPr>
    </w:lvl>
  </w:abstractNum>
  <w:abstractNum w:abstractNumId="12" w15:restartNumberingAfterBreak="0">
    <w:nsid w:val="3909419C"/>
    <w:multiLevelType w:val="hybridMultilevel"/>
    <w:tmpl w:val="8548C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0C1F97"/>
    <w:multiLevelType w:val="hybridMultilevel"/>
    <w:tmpl w:val="30C2DF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9B2315"/>
    <w:multiLevelType w:val="multilevel"/>
    <w:tmpl w:val="665AF17C"/>
    <w:lvl w:ilvl="0">
      <w:start w:val="5"/>
      <w:numFmt w:val="decimal"/>
      <w:lvlText w:val="%1"/>
      <w:lvlJc w:val="left"/>
      <w:pPr>
        <w:ind w:left="1640" w:hanging="721"/>
      </w:pPr>
      <w:rPr>
        <w:rFonts w:hint="default"/>
        <w:lang w:val="en-US" w:eastAsia="en-US" w:bidi="ar-SA"/>
      </w:rPr>
    </w:lvl>
    <w:lvl w:ilvl="1">
      <w:numFmt w:val="decimal"/>
      <w:lvlText w:val="%1.%2"/>
      <w:lvlJc w:val="left"/>
      <w:pPr>
        <w:ind w:left="1640" w:hanging="721"/>
        <w:jc w:val="right"/>
      </w:pPr>
      <w:rPr>
        <w:rFonts w:hint="default"/>
        <w:spacing w:val="-1"/>
        <w:w w:val="100"/>
        <w:lang w:val="en-US" w:eastAsia="en-US" w:bidi="ar-SA"/>
      </w:rPr>
    </w:lvl>
    <w:lvl w:ilvl="2">
      <w:start w:val="1"/>
      <w:numFmt w:val="bullet"/>
      <w:lvlText w:val=""/>
      <w:lvlJc w:val="left"/>
      <w:pPr>
        <w:ind w:left="2719" w:hanging="360"/>
      </w:pPr>
      <w:rPr>
        <w:rFonts w:ascii="Symbol" w:hAnsi="Symbol" w:hint="default"/>
      </w:rPr>
    </w:lvl>
    <w:lvl w:ilvl="3">
      <w:start w:val="1"/>
      <w:numFmt w:val="decimal"/>
      <w:lvlText w:val="%4."/>
      <w:lvlJc w:val="left"/>
      <w:pPr>
        <w:ind w:left="3799" w:hanging="720"/>
      </w:pPr>
      <w:rPr>
        <w:rFonts w:ascii="Arial" w:eastAsia="Arial" w:hAnsi="Arial" w:cs="Arial" w:hint="default"/>
        <w:b w:val="0"/>
        <w:bCs w:val="0"/>
        <w:i w:val="0"/>
        <w:iCs w:val="0"/>
        <w:w w:val="100"/>
        <w:sz w:val="20"/>
        <w:szCs w:val="20"/>
        <w:lang w:val="en-US" w:eastAsia="en-US" w:bidi="ar-SA"/>
      </w:rPr>
    </w:lvl>
    <w:lvl w:ilvl="4">
      <w:numFmt w:val="bullet"/>
      <w:lvlText w:val=""/>
      <w:lvlJc w:val="left"/>
      <w:pPr>
        <w:ind w:left="4160" w:hanging="360"/>
      </w:pPr>
      <w:rPr>
        <w:rFonts w:ascii="Symbol" w:eastAsia="Symbol" w:hAnsi="Symbol" w:cs="Symbol" w:hint="default"/>
        <w:w w:val="100"/>
        <w:lang w:val="en-US" w:eastAsia="en-US" w:bidi="ar-SA"/>
      </w:rPr>
    </w:lvl>
    <w:lvl w:ilvl="5">
      <w:numFmt w:val="bullet"/>
      <w:lvlText w:val="•"/>
      <w:lvlJc w:val="left"/>
      <w:pPr>
        <w:ind w:left="5862" w:hanging="360"/>
      </w:pPr>
      <w:rPr>
        <w:rFonts w:hint="default"/>
        <w:lang w:val="en-US" w:eastAsia="en-US" w:bidi="ar-SA"/>
      </w:rPr>
    </w:lvl>
    <w:lvl w:ilvl="6">
      <w:numFmt w:val="bullet"/>
      <w:lvlText w:val="•"/>
      <w:lvlJc w:val="left"/>
      <w:pPr>
        <w:ind w:left="6714" w:hanging="360"/>
      </w:pPr>
      <w:rPr>
        <w:rFonts w:hint="default"/>
        <w:lang w:val="en-US" w:eastAsia="en-US" w:bidi="ar-SA"/>
      </w:rPr>
    </w:lvl>
    <w:lvl w:ilvl="7">
      <w:numFmt w:val="bullet"/>
      <w:lvlText w:val="•"/>
      <w:lvlJc w:val="left"/>
      <w:pPr>
        <w:ind w:left="7565" w:hanging="360"/>
      </w:pPr>
      <w:rPr>
        <w:rFonts w:hint="default"/>
        <w:lang w:val="en-US" w:eastAsia="en-US" w:bidi="ar-SA"/>
      </w:rPr>
    </w:lvl>
    <w:lvl w:ilvl="8">
      <w:numFmt w:val="bullet"/>
      <w:lvlText w:val="•"/>
      <w:lvlJc w:val="left"/>
      <w:pPr>
        <w:ind w:left="8417" w:hanging="360"/>
      </w:pPr>
      <w:rPr>
        <w:rFonts w:hint="default"/>
        <w:lang w:val="en-US" w:eastAsia="en-US" w:bidi="ar-SA"/>
      </w:rPr>
    </w:lvl>
  </w:abstractNum>
  <w:abstractNum w:abstractNumId="15" w15:restartNumberingAfterBreak="0">
    <w:nsid w:val="51422954"/>
    <w:multiLevelType w:val="hybridMultilevel"/>
    <w:tmpl w:val="6E1A66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4A4053"/>
    <w:multiLevelType w:val="hybridMultilevel"/>
    <w:tmpl w:val="D1F4F43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7" w15:restartNumberingAfterBreak="0">
    <w:nsid w:val="5A397C87"/>
    <w:multiLevelType w:val="hybridMultilevel"/>
    <w:tmpl w:val="211C969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163993"/>
    <w:multiLevelType w:val="hybridMultilevel"/>
    <w:tmpl w:val="749284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E645D3"/>
    <w:multiLevelType w:val="hybridMultilevel"/>
    <w:tmpl w:val="E99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D37BD"/>
    <w:multiLevelType w:val="hybridMultilevel"/>
    <w:tmpl w:val="8924BF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4339E0"/>
    <w:multiLevelType w:val="hybridMultilevel"/>
    <w:tmpl w:val="296A2A46"/>
    <w:lvl w:ilvl="0" w:tplc="BB460780">
      <w:start w:val="1"/>
      <w:numFmt w:val="lowerLetter"/>
      <w:lvlText w:val="%1."/>
      <w:lvlJc w:val="left"/>
      <w:pPr>
        <w:ind w:left="1080" w:hanging="360"/>
      </w:pPr>
      <w:rPr>
        <w:rFonts w:hint="default"/>
        <w:b w:val="0"/>
        <w:sz w:val="20"/>
      </w:rPr>
    </w:lvl>
    <w:lvl w:ilvl="1" w:tplc="0EDECC66">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4018389">
    <w:abstractNumId w:val="17"/>
  </w:num>
  <w:num w:numId="2" w16cid:durableId="960769170">
    <w:abstractNumId w:val="8"/>
  </w:num>
  <w:num w:numId="3" w16cid:durableId="598024287">
    <w:abstractNumId w:val="21"/>
  </w:num>
  <w:num w:numId="4" w16cid:durableId="1592859698">
    <w:abstractNumId w:val="16"/>
  </w:num>
  <w:num w:numId="5" w16cid:durableId="1183082657">
    <w:abstractNumId w:val="13"/>
  </w:num>
  <w:num w:numId="6" w16cid:durableId="2037853195">
    <w:abstractNumId w:val="11"/>
  </w:num>
  <w:num w:numId="7" w16cid:durableId="563685509">
    <w:abstractNumId w:val="6"/>
  </w:num>
  <w:num w:numId="8" w16cid:durableId="2106343756">
    <w:abstractNumId w:val="3"/>
  </w:num>
  <w:num w:numId="9" w16cid:durableId="2053309679">
    <w:abstractNumId w:val="9"/>
  </w:num>
  <w:num w:numId="10" w16cid:durableId="1561092762">
    <w:abstractNumId w:val="2"/>
  </w:num>
  <w:num w:numId="11" w16cid:durableId="382874861">
    <w:abstractNumId w:val="14"/>
  </w:num>
  <w:num w:numId="12" w16cid:durableId="1561862873">
    <w:abstractNumId w:val="1"/>
  </w:num>
  <w:num w:numId="13" w16cid:durableId="171917590">
    <w:abstractNumId w:val="0"/>
  </w:num>
  <w:num w:numId="14" w16cid:durableId="908882863">
    <w:abstractNumId w:val="5"/>
  </w:num>
  <w:num w:numId="15" w16cid:durableId="1657875369">
    <w:abstractNumId w:val="7"/>
  </w:num>
  <w:num w:numId="16" w16cid:durableId="1958297503">
    <w:abstractNumId w:val="19"/>
  </w:num>
  <w:num w:numId="17" w16cid:durableId="1606570567">
    <w:abstractNumId w:val="10"/>
  </w:num>
  <w:num w:numId="18" w16cid:durableId="1683125683">
    <w:abstractNumId w:val="4"/>
  </w:num>
  <w:num w:numId="19" w16cid:durableId="641694999">
    <w:abstractNumId w:val="12"/>
  </w:num>
  <w:num w:numId="20" w16cid:durableId="1864980161">
    <w:abstractNumId w:val="18"/>
  </w:num>
  <w:num w:numId="21" w16cid:durableId="818532">
    <w:abstractNumId w:val="20"/>
  </w:num>
  <w:num w:numId="22" w16cid:durableId="9003622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0D1"/>
    <w:rsid w:val="00022764"/>
    <w:rsid w:val="00082A79"/>
    <w:rsid w:val="00096DB1"/>
    <w:rsid w:val="000971A5"/>
    <w:rsid w:val="000B50D1"/>
    <w:rsid w:val="000B5888"/>
    <w:rsid w:val="000F4082"/>
    <w:rsid w:val="001428CD"/>
    <w:rsid w:val="001A1A89"/>
    <w:rsid w:val="001B39DE"/>
    <w:rsid w:val="00292196"/>
    <w:rsid w:val="002A6D7F"/>
    <w:rsid w:val="002A7CC1"/>
    <w:rsid w:val="002D4A3E"/>
    <w:rsid w:val="00314FCE"/>
    <w:rsid w:val="0034174B"/>
    <w:rsid w:val="0036444F"/>
    <w:rsid w:val="003C5C73"/>
    <w:rsid w:val="003D7900"/>
    <w:rsid w:val="003E42EF"/>
    <w:rsid w:val="003E43FC"/>
    <w:rsid w:val="003E5944"/>
    <w:rsid w:val="00425586"/>
    <w:rsid w:val="0046470B"/>
    <w:rsid w:val="00476029"/>
    <w:rsid w:val="004763F4"/>
    <w:rsid w:val="00484233"/>
    <w:rsid w:val="004E3F0E"/>
    <w:rsid w:val="004E7186"/>
    <w:rsid w:val="005254D8"/>
    <w:rsid w:val="005B20EF"/>
    <w:rsid w:val="0064600A"/>
    <w:rsid w:val="007129DC"/>
    <w:rsid w:val="00793FD3"/>
    <w:rsid w:val="007A4641"/>
    <w:rsid w:val="007F1346"/>
    <w:rsid w:val="00856C49"/>
    <w:rsid w:val="00882EBE"/>
    <w:rsid w:val="00887E67"/>
    <w:rsid w:val="00957919"/>
    <w:rsid w:val="009D6015"/>
    <w:rsid w:val="009E5AA2"/>
    <w:rsid w:val="009F4DC4"/>
    <w:rsid w:val="00A04F32"/>
    <w:rsid w:val="00A30BCE"/>
    <w:rsid w:val="00A421BA"/>
    <w:rsid w:val="00A4258B"/>
    <w:rsid w:val="00A745FB"/>
    <w:rsid w:val="00B6171F"/>
    <w:rsid w:val="00B714DE"/>
    <w:rsid w:val="00C30026"/>
    <w:rsid w:val="00D767B2"/>
    <w:rsid w:val="00DD7D31"/>
    <w:rsid w:val="00DF790E"/>
    <w:rsid w:val="00E2650F"/>
    <w:rsid w:val="00E621F2"/>
    <w:rsid w:val="00ED091E"/>
    <w:rsid w:val="00EF1C12"/>
    <w:rsid w:val="00EF3723"/>
    <w:rsid w:val="00F1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4C98"/>
  <w15:docId w15:val="{E774C19F-5F74-47E6-AEB7-7315F699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0D1"/>
    <w:rPr>
      <w:rFonts w:ascii="Tahoma" w:hAnsi="Tahoma" w:cs="Tahoma"/>
      <w:sz w:val="16"/>
      <w:szCs w:val="16"/>
    </w:rPr>
  </w:style>
  <w:style w:type="paragraph" w:styleId="Title">
    <w:name w:val="Title"/>
    <w:basedOn w:val="Normal"/>
    <w:next w:val="Normal"/>
    <w:link w:val="TitleChar"/>
    <w:uiPriority w:val="10"/>
    <w:qFormat/>
    <w:rsid w:val="000B50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50D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B5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D1"/>
  </w:style>
  <w:style w:type="paragraph" w:styleId="Footer">
    <w:name w:val="footer"/>
    <w:basedOn w:val="Normal"/>
    <w:link w:val="FooterChar"/>
    <w:uiPriority w:val="99"/>
    <w:unhideWhenUsed/>
    <w:rsid w:val="000B5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D1"/>
  </w:style>
  <w:style w:type="paragraph" w:styleId="ListParagraph">
    <w:name w:val="List Paragraph"/>
    <w:basedOn w:val="Normal"/>
    <w:uiPriority w:val="1"/>
    <w:qFormat/>
    <w:rsid w:val="00A421BA"/>
    <w:pPr>
      <w:ind w:left="720"/>
      <w:contextualSpacing/>
    </w:pPr>
  </w:style>
  <w:style w:type="paragraph" w:styleId="BodyText">
    <w:name w:val="Body Text"/>
    <w:basedOn w:val="Normal"/>
    <w:link w:val="BodyTextChar"/>
    <w:uiPriority w:val="1"/>
    <w:qFormat/>
    <w:rsid w:val="000971A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0971A5"/>
    <w:rPr>
      <w:rFonts w:ascii="Arial" w:eastAsia="Arial" w:hAnsi="Arial" w:cs="Arial"/>
      <w:sz w:val="20"/>
      <w:szCs w:val="20"/>
    </w:rPr>
  </w:style>
  <w:style w:type="paragraph" w:styleId="Revision">
    <w:name w:val="Revision"/>
    <w:hidden/>
    <w:uiPriority w:val="99"/>
    <w:semiHidden/>
    <w:rsid w:val="00C30026"/>
    <w:pPr>
      <w:spacing w:after="0" w:line="240" w:lineRule="auto"/>
    </w:pPr>
  </w:style>
  <w:style w:type="character" w:styleId="Hyperlink">
    <w:name w:val="Hyperlink"/>
    <w:basedOn w:val="DefaultParagraphFont"/>
    <w:uiPriority w:val="99"/>
    <w:unhideWhenUsed/>
    <w:rsid w:val="000B5888"/>
    <w:rPr>
      <w:color w:val="0000FF" w:themeColor="hyperlink"/>
      <w:u w:val="single"/>
    </w:rPr>
  </w:style>
  <w:style w:type="character" w:styleId="UnresolvedMention">
    <w:name w:val="Unresolved Mention"/>
    <w:basedOn w:val="DefaultParagraphFont"/>
    <w:uiPriority w:val="99"/>
    <w:semiHidden/>
    <w:unhideWhenUsed/>
    <w:rsid w:val="000B5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og.org/lung-map-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Spectrum Health</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Koning, Hatti A.</dc:creator>
  <cp:lastModifiedBy>Haworth, Jan</cp:lastModifiedBy>
  <cp:revision>5</cp:revision>
  <dcterms:created xsi:type="dcterms:W3CDTF">2024-10-18T14:14:00Z</dcterms:created>
  <dcterms:modified xsi:type="dcterms:W3CDTF">2024-10-18T14:18:00Z</dcterms:modified>
</cp:coreProperties>
</file>